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BB5" w14:textId="77777777" w:rsidR="00BA3860" w:rsidRPr="0064298D" w:rsidRDefault="00BA3860" w:rsidP="003B3E82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</w:p>
    <w:p w14:paraId="20DD6584" w14:textId="77777777" w:rsidR="00BA3860" w:rsidRPr="0064298D" w:rsidRDefault="00BA3860" w:rsidP="003B3E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6FE73E" w14:textId="69BE6E03" w:rsidR="00BA3860" w:rsidRPr="0064298D" w:rsidRDefault="00BA3860" w:rsidP="003B3E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4298D">
        <w:rPr>
          <w:rFonts w:ascii="Arial" w:hAnsi="Arial" w:cs="Arial"/>
          <w:b/>
          <w:bCs/>
          <w:sz w:val="20"/>
          <w:szCs w:val="20"/>
          <w:u w:val="single"/>
        </w:rPr>
        <w:t>Case 1</w:t>
      </w:r>
    </w:p>
    <w:p w14:paraId="1706F238" w14:textId="77777777" w:rsidR="00BA3860" w:rsidRPr="0064298D" w:rsidRDefault="00BA3860" w:rsidP="003B3E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A3B4AE" w14:textId="2EA7C256" w:rsidR="00577EE8" w:rsidRPr="0064298D" w:rsidRDefault="00577EE8" w:rsidP="003B3E82">
      <w:pPr>
        <w:jc w:val="both"/>
        <w:rPr>
          <w:rFonts w:ascii="Arial" w:hAnsi="Arial" w:cs="Arial"/>
          <w:bCs/>
          <w:sz w:val="20"/>
          <w:szCs w:val="20"/>
        </w:rPr>
      </w:pPr>
      <w:r w:rsidRPr="0064298D">
        <w:rPr>
          <w:rFonts w:ascii="Arial" w:hAnsi="Arial" w:cs="Arial"/>
          <w:bCs/>
          <w:sz w:val="20"/>
          <w:szCs w:val="20"/>
        </w:rPr>
        <w:t>Chris</w:t>
      </w:r>
      <w:r w:rsidR="00BA3860" w:rsidRPr="0064298D">
        <w:rPr>
          <w:rFonts w:ascii="Arial" w:hAnsi="Arial" w:cs="Arial"/>
          <w:bCs/>
          <w:sz w:val="20"/>
          <w:szCs w:val="20"/>
        </w:rPr>
        <w:t>t</w:t>
      </w:r>
      <w:r w:rsidR="00016B33">
        <w:rPr>
          <w:rFonts w:ascii="Arial" w:hAnsi="Arial" w:cs="Arial"/>
          <w:bCs/>
          <w:sz w:val="20"/>
          <w:szCs w:val="20"/>
        </w:rPr>
        <w:t>ine Johnson, 3</w:t>
      </w:r>
      <w:r w:rsidR="00B23262">
        <w:rPr>
          <w:rFonts w:ascii="Arial" w:hAnsi="Arial" w:cs="Arial"/>
          <w:bCs/>
          <w:sz w:val="20"/>
          <w:szCs w:val="20"/>
        </w:rPr>
        <w:t xml:space="preserve">5 </w:t>
      </w:r>
      <w:proofErr w:type="gramStart"/>
      <w:r w:rsidR="00B23262">
        <w:rPr>
          <w:rFonts w:ascii="Arial" w:hAnsi="Arial" w:cs="Arial"/>
          <w:bCs/>
          <w:sz w:val="20"/>
          <w:szCs w:val="20"/>
        </w:rPr>
        <w:t>year-</w:t>
      </w:r>
      <w:r w:rsidR="00D46E6E">
        <w:rPr>
          <w:rFonts w:ascii="Arial" w:hAnsi="Arial" w:cs="Arial"/>
          <w:bCs/>
          <w:sz w:val="20"/>
          <w:szCs w:val="20"/>
        </w:rPr>
        <w:t>old</w:t>
      </w:r>
      <w:proofErr w:type="gramEnd"/>
      <w:r w:rsidR="00D46E6E">
        <w:rPr>
          <w:rFonts w:ascii="Arial" w:hAnsi="Arial" w:cs="Arial"/>
          <w:bCs/>
          <w:sz w:val="20"/>
          <w:szCs w:val="20"/>
        </w:rPr>
        <w:t>, f</w:t>
      </w:r>
      <w:r w:rsidRPr="0064298D">
        <w:rPr>
          <w:rFonts w:ascii="Arial" w:hAnsi="Arial" w:cs="Arial"/>
          <w:bCs/>
          <w:sz w:val="20"/>
          <w:szCs w:val="20"/>
        </w:rPr>
        <w:t>emale</w:t>
      </w:r>
    </w:p>
    <w:p w14:paraId="3F576548" w14:textId="77777777" w:rsidR="00577EE8" w:rsidRPr="0064298D" w:rsidRDefault="00577EE8" w:rsidP="003B3E82">
      <w:pPr>
        <w:jc w:val="both"/>
        <w:rPr>
          <w:rFonts w:ascii="Arial" w:hAnsi="Arial" w:cs="Arial"/>
          <w:sz w:val="20"/>
          <w:szCs w:val="20"/>
        </w:rPr>
      </w:pPr>
    </w:p>
    <w:p w14:paraId="16D54E7B" w14:textId="03105E96" w:rsidR="00577EE8" w:rsidRPr="0064298D" w:rsidRDefault="00577EE8" w:rsidP="003B3E82">
      <w:p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bCs/>
          <w:i/>
          <w:iCs/>
          <w:sz w:val="20"/>
          <w:szCs w:val="20"/>
        </w:rPr>
        <w:t>Patient presents 24 hours after</w:t>
      </w:r>
      <w:r w:rsidR="00C01141">
        <w:rPr>
          <w:rFonts w:ascii="Arial" w:hAnsi="Arial" w:cs="Arial"/>
          <w:bCs/>
          <w:i/>
          <w:iCs/>
          <w:sz w:val="20"/>
          <w:szCs w:val="20"/>
        </w:rPr>
        <w:t xml:space="preserve"> a</w:t>
      </w:r>
      <w:r w:rsidRPr="0064298D">
        <w:rPr>
          <w:rFonts w:ascii="Arial" w:hAnsi="Arial" w:cs="Arial"/>
          <w:bCs/>
          <w:i/>
          <w:iCs/>
          <w:sz w:val="20"/>
          <w:szCs w:val="20"/>
        </w:rPr>
        <w:t xml:space="preserve"> low speed, rear-end MVC for gradual</w:t>
      </w:r>
      <w:r w:rsidR="000B53D9">
        <w:rPr>
          <w:rFonts w:ascii="Arial" w:hAnsi="Arial" w:cs="Arial"/>
          <w:bCs/>
          <w:i/>
          <w:iCs/>
          <w:sz w:val="20"/>
          <w:szCs w:val="20"/>
        </w:rPr>
        <w:t>-</w:t>
      </w:r>
      <w:r w:rsidRPr="0064298D">
        <w:rPr>
          <w:rFonts w:ascii="Arial" w:hAnsi="Arial" w:cs="Arial"/>
          <w:bCs/>
          <w:i/>
          <w:iCs/>
          <w:sz w:val="20"/>
          <w:szCs w:val="20"/>
        </w:rPr>
        <w:t>onset diffuse neck and back pain.  Patient is well appearing, sitting up on stretcher and playing with cell p</w:t>
      </w:r>
      <w:r w:rsidR="00BA3860" w:rsidRPr="0064298D">
        <w:rPr>
          <w:rFonts w:ascii="Arial" w:hAnsi="Arial" w:cs="Arial"/>
          <w:bCs/>
          <w:i/>
          <w:iCs/>
          <w:sz w:val="20"/>
          <w:szCs w:val="20"/>
        </w:rPr>
        <w:t>hone.  Noted to have short hair</w:t>
      </w:r>
      <w:r w:rsidRPr="0064298D">
        <w:rPr>
          <w:rFonts w:ascii="Arial" w:hAnsi="Arial" w:cs="Arial"/>
          <w:bCs/>
          <w:i/>
          <w:iCs/>
          <w:sz w:val="20"/>
          <w:szCs w:val="20"/>
        </w:rPr>
        <w:t>cut and masculine clothing.  </w:t>
      </w:r>
    </w:p>
    <w:p w14:paraId="10307790" w14:textId="77777777" w:rsidR="00577EE8" w:rsidRPr="0064298D" w:rsidRDefault="00577EE8" w:rsidP="003B3E82">
      <w:pPr>
        <w:jc w:val="both"/>
        <w:rPr>
          <w:rFonts w:ascii="Arial" w:hAnsi="Arial" w:cs="Arial"/>
          <w:sz w:val="20"/>
          <w:szCs w:val="20"/>
        </w:rPr>
      </w:pPr>
    </w:p>
    <w:p w14:paraId="5AA52F61" w14:textId="77777777" w:rsidR="00577EE8" w:rsidRPr="0064298D" w:rsidRDefault="00577EE8" w:rsidP="003B3E82">
      <w:pPr>
        <w:jc w:val="both"/>
        <w:rPr>
          <w:rFonts w:ascii="Arial" w:hAnsi="Arial" w:cs="Arial"/>
          <w:sz w:val="20"/>
          <w:szCs w:val="20"/>
        </w:rPr>
      </w:pPr>
    </w:p>
    <w:p w14:paraId="0E178B83" w14:textId="77777777" w:rsidR="00577EE8" w:rsidRPr="0064298D" w:rsidRDefault="00577EE8" w:rsidP="003B3E82">
      <w:pPr>
        <w:jc w:val="both"/>
        <w:rPr>
          <w:rFonts w:ascii="Arial" w:hAnsi="Arial" w:cs="Arial"/>
          <w:sz w:val="20"/>
          <w:szCs w:val="20"/>
        </w:rPr>
      </w:pPr>
    </w:p>
    <w:p w14:paraId="4D2685BB" w14:textId="24A6C7FC" w:rsidR="003906BF" w:rsidRPr="0064298D" w:rsidRDefault="00C717AB" w:rsidP="003B3E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should you </w:t>
      </w:r>
      <w:r w:rsidR="003906BF" w:rsidRPr="0064298D">
        <w:rPr>
          <w:rFonts w:ascii="Arial" w:hAnsi="Arial" w:cs="Arial"/>
          <w:sz w:val="20"/>
          <w:szCs w:val="20"/>
        </w:rPr>
        <w:t xml:space="preserve">greet the patient? </w:t>
      </w:r>
    </w:p>
    <w:p w14:paraId="78603470" w14:textId="77777777" w:rsidR="00BA3860" w:rsidRDefault="00BA3860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E848C18" w14:textId="77777777" w:rsidR="005A009B" w:rsidRDefault="005A009B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FA8F284" w14:textId="77777777" w:rsidR="00016B33" w:rsidRDefault="00016B33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56D2962" w14:textId="77777777" w:rsidR="00016B33" w:rsidRDefault="00016B33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7D9435B" w14:textId="77777777" w:rsidR="00016B33" w:rsidRDefault="00016B33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96DF4F7" w14:textId="77777777" w:rsidR="00016B33" w:rsidRPr="0064298D" w:rsidRDefault="00016B33" w:rsidP="003B3E8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B44FC94" w14:textId="77777777" w:rsidR="0064298D" w:rsidRPr="0064298D" w:rsidRDefault="0064298D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11A9527F" w14:textId="60CE89DA" w:rsidR="003906BF" w:rsidRPr="0064298D" w:rsidRDefault="003906BF" w:rsidP="003B3E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>Who “counts” as transgender or gender nonconforming?  And how will I know?</w:t>
      </w:r>
    </w:p>
    <w:p w14:paraId="771804EE" w14:textId="77777777" w:rsidR="0064298D" w:rsidRPr="0064298D" w:rsidRDefault="0064298D" w:rsidP="003B3E82">
      <w:pPr>
        <w:jc w:val="both"/>
        <w:rPr>
          <w:rFonts w:ascii="Arial" w:hAnsi="Arial" w:cs="Arial"/>
          <w:sz w:val="20"/>
          <w:szCs w:val="20"/>
        </w:rPr>
      </w:pPr>
    </w:p>
    <w:p w14:paraId="7173DE2B" w14:textId="77777777" w:rsidR="0064298D" w:rsidRDefault="0064298D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4F9E115" w14:textId="77777777" w:rsidR="00016B33" w:rsidRDefault="00016B33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769D3E5A" w14:textId="77777777" w:rsidR="00016B33" w:rsidRDefault="00016B33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13CD977" w14:textId="77777777" w:rsidR="00016B33" w:rsidRDefault="00016B33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066F875F" w14:textId="77777777" w:rsidR="00016B33" w:rsidRDefault="00016B33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DFF638A" w14:textId="77777777" w:rsidR="005A009B" w:rsidRPr="0064298D" w:rsidRDefault="005A009B" w:rsidP="003B3E8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42FADFE4" w14:textId="5C096EBC" w:rsidR="003906BF" w:rsidRDefault="000B53D9" w:rsidP="003B3E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906BF" w:rsidRPr="0064298D">
        <w:rPr>
          <w:rFonts w:ascii="Arial" w:hAnsi="Arial" w:cs="Arial"/>
          <w:sz w:val="20"/>
          <w:szCs w:val="20"/>
        </w:rPr>
        <w:t>ow will patients react when asked about pronouns?</w:t>
      </w:r>
    </w:p>
    <w:p w14:paraId="46175DEC" w14:textId="77777777" w:rsidR="0064298D" w:rsidRDefault="0064298D" w:rsidP="003B3E82">
      <w:pPr>
        <w:jc w:val="both"/>
        <w:rPr>
          <w:rFonts w:ascii="Arial" w:hAnsi="Arial" w:cs="Arial"/>
          <w:sz w:val="20"/>
          <w:szCs w:val="20"/>
        </w:rPr>
      </w:pPr>
    </w:p>
    <w:p w14:paraId="2E898674" w14:textId="77777777" w:rsidR="005A009B" w:rsidRDefault="005A009B" w:rsidP="003B3E82">
      <w:pPr>
        <w:jc w:val="both"/>
        <w:rPr>
          <w:rFonts w:ascii="Arial" w:hAnsi="Arial" w:cs="Arial"/>
          <w:sz w:val="20"/>
          <w:szCs w:val="20"/>
        </w:rPr>
      </w:pPr>
    </w:p>
    <w:p w14:paraId="0F6CBC33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585CAE72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597CA8F2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6DAC5B71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099A717D" w14:textId="77777777" w:rsidR="005A009B" w:rsidRPr="0064298D" w:rsidRDefault="005A009B" w:rsidP="003B3E82">
      <w:pPr>
        <w:jc w:val="both"/>
        <w:rPr>
          <w:rFonts w:ascii="Arial" w:hAnsi="Arial" w:cs="Arial"/>
          <w:sz w:val="20"/>
          <w:szCs w:val="20"/>
        </w:rPr>
      </w:pPr>
    </w:p>
    <w:p w14:paraId="3A407DDD" w14:textId="69B19893" w:rsidR="00E33ABE" w:rsidRPr="003B3E82" w:rsidRDefault="003906BF" w:rsidP="003B3E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 xml:space="preserve">Is </w:t>
      </w:r>
      <w:r w:rsidR="0064298D">
        <w:rPr>
          <w:rFonts w:ascii="Arial" w:hAnsi="Arial" w:cs="Arial"/>
          <w:sz w:val="20"/>
          <w:szCs w:val="20"/>
        </w:rPr>
        <w:t xml:space="preserve">knowing </w:t>
      </w:r>
      <w:r w:rsidRPr="0064298D">
        <w:rPr>
          <w:rFonts w:ascii="Arial" w:hAnsi="Arial" w:cs="Arial"/>
          <w:sz w:val="20"/>
          <w:szCs w:val="20"/>
        </w:rPr>
        <w:t xml:space="preserve">this patient’s gender </w:t>
      </w:r>
      <w:r w:rsidR="0064298D">
        <w:rPr>
          <w:rFonts w:ascii="Arial" w:hAnsi="Arial" w:cs="Arial"/>
          <w:sz w:val="20"/>
          <w:szCs w:val="20"/>
        </w:rPr>
        <w:t xml:space="preserve">/ correct pronouns </w:t>
      </w:r>
      <w:r w:rsidRPr="0064298D">
        <w:rPr>
          <w:rFonts w:ascii="Arial" w:hAnsi="Arial" w:cs="Arial"/>
          <w:sz w:val="20"/>
          <w:szCs w:val="20"/>
        </w:rPr>
        <w:t>relevant to the case?</w:t>
      </w:r>
    </w:p>
    <w:p w14:paraId="3783C932" w14:textId="77777777" w:rsidR="00E33ABE" w:rsidRDefault="00E33ABE" w:rsidP="003B3E82">
      <w:pPr>
        <w:jc w:val="both"/>
        <w:rPr>
          <w:rFonts w:ascii="Arial" w:hAnsi="Arial" w:cs="Arial"/>
          <w:sz w:val="20"/>
          <w:szCs w:val="20"/>
        </w:rPr>
      </w:pPr>
    </w:p>
    <w:p w14:paraId="05007F69" w14:textId="77777777" w:rsidR="005A009B" w:rsidRDefault="005A009B" w:rsidP="003B3E82">
      <w:pPr>
        <w:jc w:val="both"/>
        <w:rPr>
          <w:rFonts w:ascii="Arial" w:hAnsi="Arial" w:cs="Arial"/>
          <w:sz w:val="20"/>
          <w:szCs w:val="20"/>
        </w:rPr>
      </w:pPr>
    </w:p>
    <w:p w14:paraId="083CE502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232A2105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22418580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46AB3A52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31E925D2" w14:textId="77777777" w:rsidR="00016B33" w:rsidRDefault="00016B33" w:rsidP="003B3E82">
      <w:pPr>
        <w:jc w:val="both"/>
        <w:rPr>
          <w:rFonts w:ascii="Arial" w:hAnsi="Arial" w:cs="Arial"/>
          <w:sz w:val="20"/>
          <w:szCs w:val="20"/>
        </w:rPr>
      </w:pPr>
    </w:p>
    <w:p w14:paraId="6FBBDACD" w14:textId="77777777" w:rsidR="00B24BBC" w:rsidRPr="00B24BBC" w:rsidRDefault="00B24BBC" w:rsidP="003B3E82">
      <w:pPr>
        <w:jc w:val="both"/>
        <w:rPr>
          <w:rFonts w:ascii="Arial" w:hAnsi="Arial" w:cs="Arial"/>
          <w:sz w:val="20"/>
          <w:szCs w:val="20"/>
        </w:rPr>
      </w:pPr>
    </w:p>
    <w:p w14:paraId="7A1D5CED" w14:textId="2A4DFD77" w:rsidR="003906BF" w:rsidRPr="003B3E82" w:rsidRDefault="000B53D9" w:rsidP="003B3E82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3B3E82">
        <w:rPr>
          <w:rFonts w:ascii="Arial" w:hAnsi="Arial" w:cs="Arial"/>
          <w:sz w:val="20"/>
          <w:szCs w:val="20"/>
        </w:rPr>
        <w:t>H</w:t>
      </w:r>
      <w:r w:rsidR="003906BF" w:rsidRPr="003B3E82">
        <w:rPr>
          <w:rFonts w:ascii="Arial" w:hAnsi="Arial" w:cs="Arial"/>
          <w:sz w:val="20"/>
          <w:szCs w:val="20"/>
        </w:rPr>
        <w:t xml:space="preserve">ow </w:t>
      </w:r>
      <w:r w:rsidRPr="003B3E82">
        <w:rPr>
          <w:rFonts w:ascii="Arial" w:hAnsi="Arial" w:cs="Arial"/>
          <w:sz w:val="20"/>
          <w:szCs w:val="20"/>
        </w:rPr>
        <w:t xml:space="preserve">should I refer to this </w:t>
      </w:r>
      <w:r w:rsidR="003906BF" w:rsidRPr="003B3E82">
        <w:rPr>
          <w:rFonts w:ascii="Arial" w:hAnsi="Arial" w:cs="Arial"/>
          <w:sz w:val="20"/>
          <w:szCs w:val="20"/>
        </w:rPr>
        <w:t xml:space="preserve">patient </w:t>
      </w:r>
      <w:r w:rsidRPr="003B3E82">
        <w:rPr>
          <w:rFonts w:ascii="Arial" w:hAnsi="Arial" w:cs="Arial"/>
          <w:sz w:val="20"/>
          <w:szCs w:val="20"/>
        </w:rPr>
        <w:t>when talking with</w:t>
      </w:r>
      <w:r w:rsidR="003906BF" w:rsidRPr="003B3E82">
        <w:rPr>
          <w:rFonts w:ascii="Arial" w:hAnsi="Arial" w:cs="Arial"/>
          <w:sz w:val="20"/>
          <w:szCs w:val="20"/>
        </w:rPr>
        <w:t xml:space="preserve"> staff / nursing</w:t>
      </w:r>
      <w:r w:rsidR="003B3E82">
        <w:rPr>
          <w:rFonts w:ascii="Arial" w:hAnsi="Arial" w:cs="Arial"/>
          <w:sz w:val="20"/>
          <w:szCs w:val="20"/>
        </w:rPr>
        <w:t xml:space="preserve"> </w:t>
      </w:r>
      <w:r w:rsidRPr="003B3E82">
        <w:rPr>
          <w:rFonts w:ascii="Arial" w:hAnsi="Arial" w:cs="Arial"/>
          <w:sz w:val="20"/>
          <w:szCs w:val="20"/>
        </w:rPr>
        <w:t>/</w:t>
      </w:r>
      <w:r w:rsidR="003B3E82">
        <w:rPr>
          <w:rFonts w:ascii="Arial" w:hAnsi="Arial" w:cs="Arial"/>
          <w:sz w:val="20"/>
          <w:szCs w:val="20"/>
        </w:rPr>
        <w:t xml:space="preserve"> </w:t>
      </w:r>
      <w:r w:rsidRPr="003B3E82">
        <w:rPr>
          <w:rFonts w:ascii="Arial" w:hAnsi="Arial" w:cs="Arial"/>
          <w:sz w:val="20"/>
          <w:szCs w:val="20"/>
        </w:rPr>
        <w:t>colleagues</w:t>
      </w:r>
      <w:r w:rsidR="003906BF" w:rsidRPr="003B3E82">
        <w:rPr>
          <w:rFonts w:ascii="Arial" w:hAnsi="Arial" w:cs="Arial"/>
          <w:sz w:val="20"/>
          <w:szCs w:val="20"/>
        </w:rPr>
        <w:t>?</w:t>
      </w:r>
      <w:r w:rsidRPr="003B3E82">
        <w:rPr>
          <w:rFonts w:ascii="Arial" w:hAnsi="Arial" w:cs="Arial"/>
          <w:sz w:val="20"/>
          <w:szCs w:val="20"/>
        </w:rPr>
        <w:t xml:space="preserve">  How should I document my encounter with this patient?</w:t>
      </w:r>
    </w:p>
    <w:p w14:paraId="7ABF444B" w14:textId="77777777" w:rsidR="00B24BBC" w:rsidRDefault="00B24BBC" w:rsidP="003B3E82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62633F0B" w14:textId="77777777" w:rsidR="003906BF" w:rsidRDefault="003906BF" w:rsidP="003B3E82">
      <w:pPr>
        <w:jc w:val="both"/>
        <w:rPr>
          <w:rFonts w:ascii="Arial" w:hAnsi="Arial" w:cs="Arial"/>
          <w:sz w:val="20"/>
          <w:szCs w:val="20"/>
        </w:rPr>
      </w:pPr>
    </w:p>
    <w:p w14:paraId="34F34CF1" w14:textId="77777777" w:rsidR="0064298D" w:rsidRDefault="0064298D" w:rsidP="003B3E82">
      <w:pPr>
        <w:jc w:val="both"/>
        <w:rPr>
          <w:rFonts w:ascii="Arial" w:hAnsi="Arial" w:cs="Arial"/>
          <w:sz w:val="20"/>
          <w:szCs w:val="20"/>
        </w:rPr>
      </w:pPr>
    </w:p>
    <w:p w14:paraId="74DB92B6" w14:textId="77777777" w:rsidR="0064298D" w:rsidRDefault="0064298D" w:rsidP="003B3E82">
      <w:pPr>
        <w:jc w:val="both"/>
        <w:rPr>
          <w:rFonts w:ascii="Arial" w:hAnsi="Arial" w:cs="Arial"/>
          <w:sz w:val="20"/>
          <w:szCs w:val="20"/>
        </w:rPr>
      </w:pPr>
    </w:p>
    <w:p w14:paraId="742E2716" w14:textId="77777777" w:rsidR="00A63087" w:rsidRDefault="00A63087" w:rsidP="003B3E82">
      <w:pPr>
        <w:jc w:val="both"/>
        <w:rPr>
          <w:rFonts w:ascii="Arial" w:hAnsi="Arial" w:cs="Arial"/>
          <w:sz w:val="20"/>
          <w:szCs w:val="20"/>
        </w:rPr>
      </w:pPr>
    </w:p>
    <w:p w14:paraId="299E69DC" w14:textId="77777777" w:rsidR="00A63087" w:rsidRDefault="00A63087" w:rsidP="003B3E82">
      <w:pPr>
        <w:jc w:val="both"/>
        <w:rPr>
          <w:rFonts w:ascii="Arial" w:hAnsi="Arial" w:cs="Arial"/>
          <w:sz w:val="20"/>
          <w:szCs w:val="20"/>
        </w:rPr>
      </w:pPr>
    </w:p>
    <w:p w14:paraId="6A61E705" w14:textId="77777777" w:rsidR="00016B33" w:rsidRDefault="00016B33" w:rsidP="003B3E8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5A6DAD8" w14:textId="58D2CBB8" w:rsidR="003906BF" w:rsidRPr="0064298D" w:rsidRDefault="003906BF" w:rsidP="003B3E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298D">
        <w:rPr>
          <w:rFonts w:ascii="Arial" w:hAnsi="Arial" w:cs="Arial"/>
          <w:b/>
          <w:sz w:val="20"/>
          <w:szCs w:val="20"/>
          <w:u w:val="single"/>
        </w:rPr>
        <w:t>Case 2</w:t>
      </w:r>
    </w:p>
    <w:p w14:paraId="6EC97AD7" w14:textId="77777777" w:rsidR="0064298D" w:rsidRDefault="0064298D" w:rsidP="00196E7C">
      <w:pPr>
        <w:jc w:val="both"/>
        <w:rPr>
          <w:rFonts w:ascii="Arial" w:hAnsi="Arial" w:cs="Arial"/>
          <w:sz w:val="20"/>
          <w:szCs w:val="20"/>
        </w:rPr>
      </w:pPr>
    </w:p>
    <w:p w14:paraId="5AE5A8F5" w14:textId="2D498DCC" w:rsidR="00D96C65" w:rsidRDefault="003906B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4298D">
        <w:rPr>
          <w:rFonts w:ascii="Arial" w:hAnsi="Arial" w:cs="Arial"/>
          <w:sz w:val="20"/>
          <w:szCs w:val="20"/>
        </w:rPr>
        <w:t>23 y</w:t>
      </w:r>
      <w:r w:rsidR="00AB5C3D">
        <w:rPr>
          <w:rFonts w:ascii="Arial" w:hAnsi="Arial" w:cs="Arial"/>
          <w:sz w:val="20"/>
          <w:szCs w:val="20"/>
        </w:rPr>
        <w:t>ear-</w:t>
      </w:r>
      <w:r w:rsidR="0064298D">
        <w:rPr>
          <w:rFonts w:ascii="Arial" w:hAnsi="Arial" w:cs="Arial"/>
          <w:sz w:val="20"/>
          <w:szCs w:val="20"/>
        </w:rPr>
        <w:t>old</w:t>
      </w:r>
      <w:proofErr w:type="gramEnd"/>
      <w:r w:rsidR="0064298D">
        <w:rPr>
          <w:rFonts w:ascii="Arial" w:hAnsi="Arial" w:cs="Arial"/>
          <w:sz w:val="20"/>
          <w:szCs w:val="20"/>
        </w:rPr>
        <w:t xml:space="preserve"> trans</w:t>
      </w:r>
      <w:r w:rsidRPr="0064298D">
        <w:rPr>
          <w:rFonts w:ascii="Arial" w:hAnsi="Arial" w:cs="Arial"/>
          <w:sz w:val="20"/>
          <w:szCs w:val="20"/>
        </w:rPr>
        <w:t xml:space="preserve">man presents to ED complaining of dysuria and urinary frequency for the past 3 days.  The attending physician enters the examination room to begin her </w:t>
      </w:r>
      <w:r w:rsidR="00D96C65">
        <w:rPr>
          <w:rFonts w:ascii="Arial" w:hAnsi="Arial" w:cs="Arial"/>
          <w:sz w:val="20"/>
          <w:szCs w:val="20"/>
        </w:rPr>
        <w:t>evaluation</w:t>
      </w:r>
      <w:r w:rsidRPr="0064298D">
        <w:rPr>
          <w:rFonts w:ascii="Arial" w:hAnsi="Arial" w:cs="Arial"/>
          <w:sz w:val="20"/>
          <w:szCs w:val="20"/>
        </w:rPr>
        <w:t xml:space="preserve"> and </w:t>
      </w:r>
      <w:r w:rsidR="00D96C65">
        <w:rPr>
          <w:rFonts w:ascii="Arial" w:hAnsi="Arial" w:cs="Arial"/>
          <w:sz w:val="20"/>
          <w:szCs w:val="20"/>
        </w:rPr>
        <w:t>notices</w:t>
      </w:r>
      <w:r w:rsidR="00D96C65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 xml:space="preserve">the patient looks familiar. She </w:t>
      </w:r>
      <w:r w:rsidR="003B0058">
        <w:rPr>
          <w:rFonts w:ascii="Arial" w:hAnsi="Arial" w:cs="Arial"/>
          <w:sz w:val="20"/>
          <w:szCs w:val="20"/>
        </w:rPr>
        <w:t>recognizes</w:t>
      </w:r>
      <w:r w:rsidR="003B0058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 xml:space="preserve">the patient </w:t>
      </w:r>
      <w:r w:rsidR="003B0058">
        <w:rPr>
          <w:rFonts w:ascii="Arial" w:hAnsi="Arial" w:cs="Arial"/>
          <w:sz w:val="20"/>
          <w:szCs w:val="20"/>
        </w:rPr>
        <w:t>as</w:t>
      </w:r>
      <w:r w:rsidR="003B0058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>a student she worked with two years ago who</w:t>
      </w:r>
      <w:r w:rsidR="00D96C65">
        <w:rPr>
          <w:rFonts w:ascii="Arial" w:hAnsi="Arial" w:cs="Arial"/>
          <w:sz w:val="20"/>
          <w:szCs w:val="20"/>
        </w:rPr>
        <w:t>,</w:t>
      </w:r>
      <w:r w:rsidRPr="0064298D">
        <w:rPr>
          <w:rFonts w:ascii="Arial" w:hAnsi="Arial" w:cs="Arial"/>
          <w:sz w:val="20"/>
          <w:szCs w:val="20"/>
        </w:rPr>
        <w:t xml:space="preserve"> at that time</w:t>
      </w:r>
      <w:r w:rsidR="00D96C65">
        <w:rPr>
          <w:rFonts w:ascii="Arial" w:hAnsi="Arial" w:cs="Arial"/>
          <w:sz w:val="20"/>
          <w:szCs w:val="20"/>
        </w:rPr>
        <w:t>,</w:t>
      </w:r>
      <w:r w:rsidRPr="0064298D">
        <w:rPr>
          <w:rFonts w:ascii="Arial" w:hAnsi="Arial" w:cs="Arial"/>
          <w:sz w:val="20"/>
          <w:szCs w:val="20"/>
        </w:rPr>
        <w:t xml:space="preserve"> </w:t>
      </w:r>
      <w:r w:rsidR="002A76EB">
        <w:rPr>
          <w:rFonts w:ascii="Arial" w:hAnsi="Arial" w:cs="Arial"/>
          <w:sz w:val="20"/>
          <w:szCs w:val="20"/>
        </w:rPr>
        <w:t>presented</w:t>
      </w:r>
      <w:r w:rsidRPr="0064298D">
        <w:rPr>
          <w:rFonts w:ascii="Arial" w:hAnsi="Arial" w:cs="Arial"/>
          <w:sz w:val="20"/>
          <w:szCs w:val="20"/>
        </w:rPr>
        <w:t xml:space="preserve"> as </w:t>
      </w:r>
      <w:r w:rsidR="00316AD1">
        <w:rPr>
          <w:rFonts w:ascii="Arial" w:hAnsi="Arial" w:cs="Arial"/>
          <w:sz w:val="20"/>
          <w:szCs w:val="20"/>
        </w:rPr>
        <w:t>a wo</w:t>
      </w:r>
      <w:r w:rsidR="00D96C65">
        <w:rPr>
          <w:rFonts w:ascii="Arial" w:hAnsi="Arial" w:cs="Arial"/>
          <w:sz w:val="20"/>
          <w:szCs w:val="20"/>
        </w:rPr>
        <w:t>man</w:t>
      </w:r>
      <w:r w:rsidR="00E97D17">
        <w:rPr>
          <w:rFonts w:ascii="Arial" w:hAnsi="Arial" w:cs="Arial"/>
          <w:sz w:val="20"/>
          <w:szCs w:val="20"/>
        </w:rPr>
        <w:t>.</w:t>
      </w:r>
      <w:r w:rsidR="00D96C65">
        <w:rPr>
          <w:rFonts w:ascii="Arial" w:hAnsi="Arial" w:cs="Arial"/>
          <w:sz w:val="20"/>
          <w:szCs w:val="20"/>
        </w:rPr>
        <w:t xml:space="preserve"> </w:t>
      </w:r>
      <w:r w:rsidR="00E97D17">
        <w:rPr>
          <w:rFonts w:ascii="Arial" w:hAnsi="Arial" w:cs="Arial"/>
          <w:sz w:val="20"/>
          <w:szCs w:val="20"/>
        </w:rPr>
        <w:t>C</w:t>
      </w:r>
      <w:r w:rsidR="003B0058">
        <w:rPr>
          <w:rFonts w:ascii="Arial" w:hAnsi="Arial" w:cs="Arial"/>
          <w:sz w:val="20"/>
          <w:szCs w:val="20"/>
        </w:rPr>
        <w:t xml:space="preserve">urrently </w:t>
      </w:r>
      <w:r w:rsidR="00D96C65">
        <w:rPr>
          <w:rFonts w:ascii="Arial" w:hAnsi="Arial" w:cs="Arial"/>
          <w:sz w:val="20"/>
          <w:szCs w:val="20"/>
        </w:rPr>
        <w:t xml:space="preserve">this </w:t>
      </w:r>
      <w:r w:rsidRPr="0064298D">
        <w:rPr>
          <w:rFonts w:ascii="Arial" w:hAnsi="Arial" w:cs="Arial"/>
          <w:sz w:val="20"/>
          <w:szCs w:val="20"/>
        </w:rPr>
        <w:t>patient is dressed</w:t>
      </w:r>
      <w:r w:rsidR="00316AD1">
        <w:rPr>
          <w:rFonts w:ascii="Arial" w:hAnsi="Arial" w:cs="Arial"/>
          <w:sz w:val="20"/>
          <w:szCs w:val="20"/>
        </w:rPr>
        <w:t xml:space="preserve"> in masculine clothing</w:t>
      </w:r>
      <w:r w:rsidRPr="0064298D">
        <w:rPr>
          <w:rFonts w:ascii="Arial" w:hAnsi="Arial" w:cs="Arial"/>
          <w:sz w:val="20"/>
          <w:szCs w:val="20"/>
        </w:rPr>
        <w:t xml:space="preserve">, has a deep voice and </w:t>
      </w:r>
      <w:r w:rsidR="00483DAE">
        <w:rPr>
          <w:rFonts w:ascii="Arial" w:hAnsi="Arial" w:cs="Arial"/>
          <w:sz w:val="20"/>
          <w:szCs w:val="20"/>
        </w:rPr>
        <w:t>has</w:t>
      </w:r>
      <w:r w:rsidRPr="0064298D">
        <w:rPr>
          <w:rFonts w:ascii="Arial" w:hAnsi="Arial" w:cs="Arial"/>
          <w:sz w:val="20"/>
          <w:szCs w:val="20"/>
        </w:rPr>
        <w:t xml:space="preserve"> facial hair. </w:t>
      </w:r>
      <w:r w:rsidR="003B0058">
        <w:rPr>
          <w:rFonts w:ascii="Arial" w:hAnsi="Arial" w:cs="Arial"/>
          <w:sz w:val="20"/>
          <w:szCs w:val="20"/>
        </w:rPr>
        <w:t>The physician</w:t>
      </w:r>
      <w:r w:rsidRPr="0064298D">
        <w:rPr>
          <w:rFonts w:ascii="Arial" w:hAnsi="Arial" w:cs="Arial"/>
          <w:sz w:val="20"/>
          <w:szCs w:val="20"/>
        </w:rPr>
        <w:t xml:space="preserve"> asks the patient to describe his discomfort when urinating. </w:t>
      </w:r>
    </w:p>
    <w:p w14:paraId="462CBD40" w14:textId="77777777" w:rsidR="003906BF" w:rsidRPr="0064298D" w:rsidRDefault="003906BF">
      <w:pPr>
        <w:jc w:val="both"/>
        <w:rPr>
          <w:rFonts w:ascii="Arial" w:hAnsi="Arial" w:cs="Arial"/>
          <w:sz w:val="20"/>
          <w:szCs w:val="20"/>
        </w:rPr>
      </w:pPr>
    </w:p>
    <w:p w14:paraId="3D651106" w14:textId="77777777" w:rsidR="003906BF" w:rsidRPr="0064298D" w:rsidRDefault="003906BF">
      <w:pPr>
        <w:jc w:val="both"/>
        <w:rPr>
          <w:rFonts w:ascii="Arial" w:hAnsi="Arial" w:cs="Arial"/>
          <w:sz w:val="20"/>
          <w:szCs w:val="20"/>
        </w:rPr>
      </w:pPr>
    </w:p>
    <w:p w14:paraId="7959F729" w14:textId="1DDDCED2" w:rsidR="003906BF" w:rsidRDefault="003906BF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 xml:space="preserve">How should one </w:t>
      </w:r>
      <w:r w:rsidR="00D96C65">
        <w:rPr>
          <w:rFonts w:ascii="Arial" w:hAnsi="Arial" w:cs="Arial"/>
          <w:sz w:val="20"/>
          <w:szCs w:val="20"/>
        </w:rPr>
        <w:t>navigate the</w:t>
      </w:r>
      <w:r w:rsidRPr="0064298D">
        <w:rPr>
          <w:rFonts w:ascii="Arial" w:hAnsi="Arial" w:cs="Arial"/>
          <w:sz w:val="20"/>
          <w:szCs w:val="20"/>
        </w:rPr>
        <w:t xml:space="preserve"> situation when the attending recognizes the patient?</w:t>
      </w:r>
    </w:p>
    <w:p w14:paraId="32408EDB" w14:textId="02E1D9CF" w:rsidR="00AB5C3D" w:rsidRDefault="00AB5C3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B52991" w14:textId="77777777" w:rsidR="00AB5C3D" w:rsidRDefault="00AB5C3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A5B5B5B" w14:textId="77777777" w:rsidR="00016B33" w:rsidRDefault="00016B3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DCC91AA" w14:textId="77777777" w:rsidR="00016B33" w:rsidRDefault="00016B3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F29133" w14:textId="77777777" w:rsidR="00016B33" w:rsidRDefault="00016B3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FD1E45" w14:textId="77777777" w:rsidR="00016B33" w:rsidRDefault="00016B3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E08A0DA" w14:textId="77777777" w:rsidR="00AB5C3D" w:rsidRPr="0064298D" w:rsidRDefault="00AB5C3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B6BCD85" w14:textId="184FB73F" w:rsidR="003906BF" w:rsidRDefault="00D96C65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the physician</w:t>
      </w:r>
      <w:r w:rsidR="003906BF" w:rsidRPr="00642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 the patient feel comfortable</w:t>
      </w:r>
      <w:r w:rsidR="003906BF" w:rsidRPr="0064298D">
        <w:rPr>
          <w:rFonts w:ascii="Arial" w:hAnsi="Arial" w:cs="Arial"/>
          <w:sz w:val="20"/>
          <w:szCs w:val="20"/>
        </w:rPr>
        <w:t xml:space="preserve"> when asking about body parts?</w:t>
      </w:r>
    </w:p>
    <w:p w14:paraId="573021A6" w14:textId="54F9525D" w:rsidR="008A5007" w:rsidRDefault="008A5007">
      <w:pPr>
        <w:jc w:val="both"/>
        <w:rPr>
          <w:rFonts w:ascii="Arial" w:hAnsi="Arial" w:cs="Arial"/>
          <w:sz w:val="20"/>
          <w:szCs w:val="20"/>
        </w:rPr>
      </w:pPr>
    </w:p>
    <w:p w14:paraId="6C87C933" w14:textId="418B3F9B" w:rsidR="008A5007" w:rsidRDefault="008A5007">
      <w:pPr>
        <w:jc w:val="both"/>
        <w:rPr>
          <w:rFonts w:ascii="Arial" w:hAnsi="Arial" w:cs="Arial"/>
          <w:sz w:val="20"/>
          <w:szCs w:val="20"/>
        </w:rPr>
      </w:pPr>
    </w:p>
    <w:p w14:paraId="01B944D9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287F0C1E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2D00A694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0D0340C7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50D8D0EF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03E98F2" w14:textId="77777777" w:rsidR="008A5007" w:rsidRPr="0064298D" w:rsidRDefault="008A5007">
      <w:pPr>
        <w:jc w:val="both"/>
        <w:rPr>
          <w:rFonts w:ascii="Arial" w:hAnsi="Arial" w:cs="Arial"/>
          <w:sz w:val="20"/>
          <w:szCs w:val="20"/>
        </w:rPr>
      </w:pPr>
    </w:p>
    <w:p w14:paraId="41B810E7" w14:textId="64B3038C" w:rsidR="003906BF" w:rsidRDefault="003906BF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 xml:space="preserve">Should the attending order a pregnancy test? </w:t>
      </w:r>
    </w:p>
    <w:p w14:paraId="0BCDE156" w14:textId="7BD9A2C2" w:rsidR="008A5007" w:rsidRDefault="008A5007">
      <w:pPr>
        <w:jc w:val="both"/>
        <w:rPr>
          <w:rFonts w:ascii="Arial" w:hAnsi="Arial" w:cs="Arial"/>
          <w:sz w:val="20"/>
          <w:szCs w:val="20"/>
        </w:rPr>
      </w:pPr>
    </w:p>
    <w:p w14:paraId="28D434F8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7000E741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6DB4AEA8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479D6196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7BB58963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7E648941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744A5956" w14:textId="387104D4" w:rsidR="008A5007" w:rsidRDefault="008A5007">
      <w:pPr>
        <w:jc w:val="both"/>
        <w:rPr>
          <w:rFonts w:ascii="Arial" w:hAnsi="Arial" w:cs="Arial"/>
          <w:sz w:val="20"/>
          <w:szCs w:val="20"/>
        </w:rPr>
      </w:pPr>
    </w:p>
    <w:p w14:paraId="60E82637" w14:textId="77777777" w:rsidR="008A5007" w:rsidRPr="0064298D" w:rsidRDefault="008A5007">
      <w:pPr>
        <w:jc w:val="both"/>
        <w:rPr>
          <w:rFonts w:ascii="Arial" w:hAnsi="Arial" w:cs="Arial"/>
          <w:sz w:val="20"/>
          <w:szCs w:val="20"/>
        </w:rPr>
      </w:pPr>
    </w:p>
    <w:p w14:paraId="4D6D407D" w14:textId="3BF0798B" w:rsidR="003906BF" w:rsidRDefault="00B64DBD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a pelvic exam need to be performed?  If so, how should the physician go about this exam?</w:t>
      </w:r>
    </w:p>
    <w:p w14:paraId="59ABFECC" w14:textId="7707EE6D" w:rsidR="003906BF" w:rsidRDefault="003906BF">
      <w:pPr>
        <w:jc w:val="both"/>
        <w:rPr>
          <w:rFonts w:ascii="Arial" w:hAnsi="Arial" w:cs="Arial"/>
          <w:sz w:val="20"/>
          <w:szCs w:val="20"/>
        </w:rPr>
      </w:pPr>
    </w:p>
    <w:p w14:paraId="585E0042" w14:textId="4B55C0A5" w:rsidR="008A5007" w:rsidRDefault="008A5007">
      <w:pPr>
        <w:jc w:val="both"/>
        <w:rPr>
          <w:rFonts w:ascii="Arial" w:hAnsi="Arial" w:cs="Arial"/>
          <w:sz w:val="20"/>
          <w:szCs w:val="20"/>
        </w:rPr>
      </w:pPr>
    </w:p>
    <w:p w14:paraId="293CBFFD" w14:textId="77777777" w:rsidR="008A5007" w:rsidRPr="0064298D" w:rsidRDefault="008A5007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61A31470" w14:textId="77777777" w:rsidR="003906BF" w:rsidRDefault="003906BF">
      <w:pPr>
        <w:jc w:val="both"/>
        <w:rPr>
          <w:rFonts w:ascii="Arial" w:hAnsi="Arial" w:cs="Arial"/>
          <w:sz w:val="20"/>
          <w:szCs w:val="20"/>
        </w:rPr>
      </w:pPr>
    </w:p>
    <w:p w14:paraId="48E8ACBE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2137CD84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74D40848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054EAF5E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6AA4A58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DF2D75A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283C792E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3019940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5F610749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D4FE1EE" w14:textId="77777777" w:rsidR="00A63087" w:rsidRDefault="00A63087" w:rsidP="00465945">
      <w:pPr>
        <w:rPr>
          <w:rFonts w:ascii="Arial" w:hAnsi="Arial" w:cs="Arial"/>
          <w:b/>
          <w:sz w:val="20"/>
          <w:szCs w:val="20"/>
          <w:u w:val="single"/>
        </w:rPr>
      </w:pPr>
    </w:p>
    <w:p w14:paraId="5133E1E2" w14:textId="77777777" w:rsidR="003906BF" w:rsidRPr="00B24BBC" w:rsidRDefault="003906BF" w:rsidP="00465945">
      <w:pPr>
        <w:rPr>
          <w:rFonts w:ascii="Arial" w:hAnsi="Arial" w:cs="Arial"/>
          <w:b/>
          <w:sz w:val="20"/>
          <w:szCs w:val="20"/>
          <w:u w:val="single"/>
        </w:rPr>
      </w:pPr>
      <w:r w:rsidRPr="00B24BBC">
        <w:rPr>
          <w:rFonts w:ascii="Arial" w:hAnsi="Arial" w:cs="Arial"/>
          <w:b/>
          <w:sz w:val="20"/>
          <w:szCs w:val="20"/>
          <w:u w:val="single"/>
        </w:rPr>
        <w:t>Case 3</w:t>
      </w:r>
    </w:p>
    <w:p w14:paraId="7CBC7533" w14:textId="77777777" w:rsidR="00B24BBC" w:rsidRDefault="00B24BBC" w:rsidP="00196E7C">
      <w:pPr>
        <w:jc w:val="both"/>
        <w:rPr>
          <w:rFonts w:ascii="Arial" w:hAnsi="Arial" w:cs="Arial"/>
          <w:sz w:val="20"/>
          <w:szCs w:val="20"/>
        </w:rPr>
      </w:pPr>
    </w:p>
    <w:p w14:paraId="30BA1336" w14:textId="0D9BA528" w:rsidR="00AC63AF" w:rsidRPr="0064298D" w:rsidRDefault="00567615" w:rsidP="00196E7C">
      <w:pPr>
        <w:jc w:val="both"/>
        <w:rPr>
          <w:rFonts w:eastAsia="Times New Roman"/>
          <w:bCs/>
        </w:rPr>
      </w:pPr>
      <w:r w:rsidRPr="0064298D">
        <w:rPr>
          <w:rFonts w:ascii="Arial" w:hAnsi="Arial" w:cs="Arial"/>
          <w:sz w:val="20"/>
          <w:szCs w:val="20"/>
        </w:rPr>
        <w:t xml:space="preserve">A </w:t>
      </w:r>
      <w:r w:rsidR="00C23841" w:rsidRPr="0064298D">
        <w:rPr>
          <w:rFonts w:ascii="Arial" w:hAnsi="Arial" w:cs="Arial"/>
          <w:sz w:val="20"/>
          <w:szCs w:val="20"/>
        </w:rPr>
        <w:t>35</w:t>
      </w:r>
      <w:r w:rsidR="004461A4">
        <w:rPr>
          <w:rFonts w:ascii="Arial" w:hAnsi="Arial" w:cs="Arial"/>
          <w:sz w:val="20"/>
          <w:szCs w:val="20"/>
        </w:rPr>
        <w:t xml:space="preserve"> year-</w:t>
      </w:r>
      <w:r w:rsidRPr="0064298D">
        <w:rPr>
          <w:rFonts w:ascii="Arial" w:hAnsi="Arial" w:cs="Arial"/>
          <w:sz w:val="20"/>
          <w:szCs w:val="20"/>
        </w:rPr>
        <w:t>old</w:t>
      </w:r>
      <w:r w:rsidR="00B93286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 xml:space="preserve">transgender female </w:t>
      </w:r>
      <w:r w:rsidR="00870209" w:rsidRPr="0064298D">
        <w:rPr>
          <w:rFonts w:ascii="Arial" w:hAnsi="Arial" w:cs="Arial"/>
          <w:sz w:val="20"/>
          <w:szCs w:val="20"/>
        </w:rPr>
        <w:t>present</w:t>
      </w:r>
      <w:r w:rsidR="00B93286" w:rsidRPr="0064298D">
        <w:rPr>
          <w:rFonts w:ascii="Arial" w:hAnsi="Arial" w:cs="Arial"/>
          <w:sz w:val="20"/>
          <w:szCs w:val="20"/>
        </w:rPr>
        <w:t>s</w:t>
      </w:r>
      <w:r w:rsidR="00870209" w:rsidRPr="0064298D">
        <w:rPr>
          <w:rFonts w:ascii="Arial" w:hAnsi="Arial" w:cs="Arial"/>
          <w:sz w:val="20"/>
          <w:szCs w:val="20"/>
        </w:rPr>
        <w:t xml:space="preserve"> to the Emergency Department with lower abdominal pain.   The p</w:t>
      </w:r>
      <w:r w:rsidRPr="0064298D">
        <w:rPr>
          <w:rFonts w:ascii="Arial" w:hAnsi="Arial" w:cs="Arial"/>
          <w:sz w:val="20"/>
          <w:szCs w:val="20"/>
        </w:rPr>
        <w:t>atient reports</w:t>
      </w:r>
      <w:r w:rsidR="00870209" w:rsidRPr="0064298D">
        <w:rPr>
          <w:rFonts w:ascii="Arial" w:hAnsi="Arial" w:cs="Arial"/>
          <w:sz w:val="20"/>
          <w:szCs w:val="20"/>
        </w:rPr>
        <w:t xml:space="preserve"> having a fever, discomfort with urination and reports decreased appetite.  Per the electronic medical </w:t>
      </w:r>
      <w:proofErr w:type="gramStart"/>
      <w:r w:rsidR="00870209" w:rsidRPr="0064298D">
        <w:rPr>
          <w:rFonts w:ascii="Arial" w:hAnsi="Arial" w:cs="Arial"/>
          <w:sz w:val="20"/>
          <w:szCs w:val="20"/>
        </w:rPr>
        <w:t>record</w:t>
      </w:r>
      <w:proofErr w:type="gramEnd"/>
      <w:r w:rsidR="00870209" w:rsidRPr="0064298D">
        <w:rPr>
          <w:rFonts w:ascii="Arial" w:hAnsi="Arial" w:cs="Arial"/>
          <w:sz w:val="20"/>
          <w:szCs w:val="20"/>
        </w:rPr>
        <w:t xml:space="preserve"> the patient is registered as a male, but the triage note states </w:t>
      </w:r>
      <w:r w:rsidR="0032204C">
        <w:rPr>
          <w:rFonts w:ascii="Arial" w:hAnsi="Arial" w:cs="Arial"/>
          <w:sz w:val="20"/>
          <w:szCs w:val="20"/>
        </w:rPr>
        <w:t>the patient goes by the “</w:t>
      </w:r>
      <w:proofErr w:type="spellStart"/>
      <w:r w:rsidR="0032204C">
        <w:rPr>
          <w:rFonts w:ascii="Arial" w:hAnsi="Arial" w:cs="Arial"/>
          <w:sz w:val="20"/>
          <w:szCs w:val="20"/>
        </w:rPr>
        <w:t>Genna</w:t>
      </w:r>
      <w:proofErr w:type="spellEnd"/>
      <w:r w:rsidR="0032204C">
        <w:rPr>
          <w:rFonts w:ascii="Arial" w:hAnsi="Arial" w:cs="Arial"/>
          <w:sz w:val="20"/>
          <w:szCs w:val="20"/>
        </w:rPr>
        <w:t>.”</w:t>
      </w:r>
      <w:r w:rsidR="00870209" w:rsidRPr="0064298D">
        <w:rPr>
          <w:rFonts w:ascii="Arial" w:hAnsi="Arial" w:cs="Arial"/>
          <w:sz w:val="20"/>
          <w:szCs w:val="20"/>
        </w:rPr>
        <w:t xml:space="preserve">  </w:t>
      </w:r>
      <w:r w:rsidR="00C23841" w:rsidRPr="0064298D">
        <w:rPr>
          <w:rFonts w:ascii="Arial" w:hAnsi="Arial" w:cs="Arial"/>
          <w:sz w:val="20"/>
          <w:szCs w:val="20"/>
        </w:rPr>
        <w:t xml:space="preserve">The patient is placed in chair in the hallway. </w:t>
      </w:r>
      <w:r w:rsidRPr="0064298D">
        <w:rPr>
          <w:rFonts w:ascii="Arial" w:hAnsi="Arial" w:cs="Arial"/>
          <w:sz w:val="20"/>
          <w:szCs w:val="20"/>
        </w:rPr>
        <w:t xml:space="preserve">The triage </w:t>
      </w:r>
      <w:proofErr w:type="gramStart"/>
      <w:r w:rsidRPr="0064298D">
        <w:rPr>
          <w:rFonts w:ascii="Arial" w:hAnsi="Arial" w:cs="Arial"/>
          <w:sz w:val="20"/>
          <w:szCs w:val="20"/>
        </w:rPr>
        <w:t>note</w:t>
      </w:r>
      <w:proofErr w:type="gramEnd"/>
      <w:r w:rsidRPr="0064298D">
        <w:rPr>
          <w:rFonts w:ascii="Arial" w:hAnsi="Arial" w:cs="Arial"/>
          <w:sz w:val="20"/>
          <w:szCs w:val="20"/>
        </w:rPr>
        <w:t xml:space="preserve"> s</w:t>
      </w:r>
      <w:r w:rsidR="00870209" w:rsidRPr="0064298D">
        <w:rPr>
          <w:rFonts w:ascii="Arial" w:hAnsi="Arial" w:cs="Arial"/>
          <w:sz w:val="20"/>
          <w:szCs w:val="20"/>
        </w:rPr>
        <w:t xml:space="preserve">tates the patient has a past medical history </w:t>
      </w:r>
      <w:r w:rsidR="00B93286" w:rsidRPr="0064298D">
        <w:rPr>
          <w:rFonts w:ascii="Arial" w:hAnsi="Arial" w:cs="Arial"/>
          <w:sz w:val="20"/>
          <w:szCs w:val="20"/>
        </w:rPr>
        <w:t xml:space="preserve">of </w:t>
      </w:r>
      <w:r w:rsidR="00870209" w:rsidRPr="0064298D">
        <w:rPr>
          <w:rFonts w:ascii="Arial" w:hAnsi="Arial" w:cs="Arial"/>
          <w:sz w:val="20"/>
          <w:szCs w:val="20"/>
        </w:rPr>
        <w:t>hi</w:t>
      </w:r>
      <w:r w:rsidRPr="0064298D">
        <w:rPr>
          <w:rFonts w:ascii="Arial" w:hAnsi="Arial" w:cs="Arial"/>
          <w:sz w:val="20"/>
          <w:szCs w:val="20"/>
        </w:rPr>
        <w:t xml:space="preserve">gh blood pressure and is taking the </w:t>
      </w:r>
      <w:r w:rsidR="00870209" w:rsidRPr="0064298D">
        <w:rPr>
          <w:rFonts w:ascii="Arial" w:hAnsi="Arial" w:cs="Arial"/>
          <w:sz w:val="20"/>
          <w:szCs w:val="20"/>
        </w:rPr>
        <w:t xml:space="preserve">spironolactone and estradiol.  You note the patient has stable </w:t>
      </w:r>
      <w:proofErr w:type="spellStart"/>
      <w:r w:rsidR="00870209" w:rsidRPr="0064298D">
        <w:rPr>
          <w:rFonts w:ascii="Arial" w:hAnsi="Arial" w:cs="Arial"/>
          <w:sz w:val="20"/>
          <w:szCs w:val="20"/>
        </w:rPr>
        <w:t>vitals</w:t>
      </w:r>
      <w:proofErr w:type="spellEnd"/>
      <w:r w:rsidR="00870209" w:rsidRPr="0064298D">
        <w:rPr>
          <w:rFonts w:ascii="Arial" w:hAnsi="Arial" w:cs="Arial"/>
          <w:sz w:val="20"/>
          <w:szCs w:val="20"/>
        </w:rPr>
        <w:t xml:space="preserve"> signs, and the nurse has already sent of labs and started an IV. </w:t>
      </w:r>
      <w:r w:rsidR="0032204C">
        <w:rPr>
          <w:rFonts w:ascii="Arial" w:hAnsi="Arial" w:cs="Arial"/>
          <w:sz w:val="20"/>
          <w:szCs w:val="20"/>
        </w:rPr>
        <w:t xml:space="preserve"> The</w:t>
      </w:r>
      <w:r w:rsidR="00C23841" w:rsidRPr="0064298D">
        <w:rPr>
          <w:rFonts w:ascii="Arial" w:hAnsi="Arial" w:cs="Arial"/>
          <w:sz w:val="20"/>
          <w:szCs w:val="20"/>
        </w:rPr>
        <w:t xml:space="preserve"> E</w:t>
      </w:r>
      <w:r w:rsidR="00B93286" w:rsidRPr="0064298D">
        <w:rPr>
          <w:rFonts w:ascii="Arial" w:hAnsi="Arial" w:cs="Arial"/>
          <w:sz w:val="20"/>
          <w:szCs w:val="20"/>
        </w:rPr>
        <w:t>D</w:t>
      </w:r>
      <w:r w:rsidR="00C23841" w:rsidRPr="0064298D">
        <w:rPr>
          <w:rFonts w:ascii="Arial" w:hAnsi="Arial" w:cs="Arial"/>
          <w:sz w:val="20"/>
          <w:szCs w:val="20"/>
        </w:rPr>
        <w:t xml:space="preserve"> is very busy and when you ask to move patient to a room the charge nurse says </w:t>
      </w:r>
      <w:r w:rsidR="00B93286" w:rsidRPr="0064298D">
        <w:rPr>
          <w:rFonts w:ascii="Arial" w:hAnsi="Arial" w:cs="Arial"/>
          <w:sz w:val="20"/>
          <w:szCs w:val="20"/>
        </w:rPr>
        <w:t xml:space="preserve">he </w:t>
      </w:r>
      <w:r w:rsidR="00C23841" w:rsidRPr="0064298D">
        <w:rPr>
          <w:rFonts w:ascii="Arial" w:hAnsi="Arial" w:cs="Arial"/>
          <w:sz w:val="20"/>
          <w:szCs w:val="20"/>
        </w:rPr>
        <w:t>does not have one and you will have to take care of</w:t>
      </w:r>
      <w:r w:rsidR="0032204C">
        <w:rPr>
          <w:rFonts w:ascii="Arial" w:hAnsi="Arial" w:cs="Arial"/>
          <w:sz w:val="20"/>
          <w:szCs w:val="20"/>
        </w:rPr>
        <w:t xml:space="preserve"> the patient in the hallway.  He</w:t>
      </w:r>
      <w:r w:rsidR="00C23841" w:rsidRPr="0064298D">
        <w:rPr>
          <w:rFonts w:ascii="Arial" w:hAnsi="Arial" w:cs="Arial"/>
          <w:sz w:val="20"/>
          <w:szCs w:val="20"/>
        </w:rPr>
        <w:t xml:space="preserve"> tells you “why does it matter they won</w:t>
      </w:r>
      <w:r w:rsidR="0032204C">
        <w:rPr>
          <w:rFonts w:ascii="Arial" w:hAnsi="Arial" w:cs="Arial"/>
          <w:sz w:val="20"/>
          <w:szCs w:val="20"/>
        </w:rPr>
        <w:t>’t need a pelvic exam.</w:t>
      </w:r>
      <w:r w:rsidR="00C23841" w:rsidRPr="0064298D">
        <w:rPr>
          <w:rFonts w:ascii="Arial" w:hAnsi="Arial" w:cs="Arial"/>
          <w:sz w:val="20"/>
          <w:szCs w:val="20"/>
        </w:rPr>
        <w:t xml:space="preserve">”  </w:t>
      </w:r>
    </w:p>
    <w:p w14:paraId="6D7FBBC2" w14:textId="77777777" w:rsidR="00AC63AF" w:rsidRPr="0064298D" w:rsidRDefault="00AC63AF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3E27CB3D" w14:textId="271BB25E" w:rsidR="00AC63AF" w:rsidRPr="0064298D" w:rsidRDefault="00AC63A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 xml:space="preserve">How would you go about taking this </w:t>
      </w:r>
      <w:r w:rsidR="00D96C65">
        <w:rPr>
          <w:rFonts w:ascii="Arial" w:hAnsi="Arial" w:cs="Arial"/>
          <w:sz w:val="20"/>
          <w:szCs w:val="20"/>
        </w:rPr>
        <w:t>patient’s</w:t>
      </w:r>
      <w:r w:rsidR="00D96C65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 xml:space="preserve">history and how would you address the charge </w:t>
      </w:r>
      <w:proofErr w:type="gramStart"/>
      <w:r w:rsidRPr="0064298D">
        <w:rPr>
          <w:rFonts w:ascii="Arial" w:hAnsi="Arial" w:cs="Arial"/>
          <w:sz w:val="20"/>
          <w:szCs w:val="20"/>
        </w:rPr>
        <w:t>nurses</w:t>
      </w:r>
      <w:proofErr w:type="gramEnd"/>
      <w:r w:rsidRPr="0064298D">
        <w:rPr>
          <w:rFonts w:ascii="Arial" w:hAnsi="Arial" w:cs="Arial"/>
          <w:sz w:val="20"/>
          <w:szCs w:val="20"/>
        </w:rPr>
        <w:t xml:space="preserve"> comments? </w:t>
      </w:r>
    </w:p>
    <w:p w14:paraId="17ACB74F" w14:textId="77777777" w:rsidR="00AC63AF" w:rsidRPr="0064298D" w:rsidRDefault="00AC63AF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58010480" w14:textId="77777777" w:rsidR="00AC63AF" w:rsidRDefault="00AC63AF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7D962369" w14:textId="77777777" w:rsidR="005A009B" w:rsidRDefault="005A009B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3B92DAED" w14:textId="77777777" w:rsidR="00016B33" w:rsidRDefault="00016B33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0BE58261" w14:textId="77777777" w:rsidR="00016B33" w:rsidRDefault="00016B33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7EC78A44" w14:textId="77777777" w:rsidR="00016B33" w:rsidRPr="0064298D" w:rsidRDefault="00016B33">
      <w:pPr>
        <w:pStyle w:val="ListParagraph"/>
        <w:spacing w:before="100" w:beforeAutospacing="1" w:after="100" w:afterAutospacing="1"/>
        <w:ind w:left="144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50C75840" w14:textId="68C0CF07" w:rsidR="00AC63AF" w:rsidRPr="0064298D" w:rsidRDefault="00AC63AF" w:rsidP="00196E7C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outlineLvl w:val="1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 xml:space="preserve">How would you inquire about this </w:t>
      </w:r>
      <w:r w:rsidR="00D96C65">
        <w:rPr>
          <w:rFonts w:ascii="Arial" w:hAnsi="Arial" w:cs="Arial"/>
          <w:sz w:val="20"/>
          <w:szCs w:val="20"/>
        </w:rPr>
        <w:t>patient’s</w:t>
      </w:r>
      <w:r w:rsidR="00D96C65" w:rsidRPr="0064298D">
        <w:rPr>
          <w:rFonts w:ascii="Arial" w:hAnsi="Arial" w:cs="Arial"/>
          <w:sz w:val="20"/>
          <w:szCs w:val="20"/>
        </w:rPr>
        <w:t xml:space="preserve"> </w:t>
      </w:r>
      <w:r w:rsidRPr="0064298D">
        <w:rPr>
          <w:rFonts w:ascii="Arial" w:hAnsi="Arial" w:cs="Arial"/>
          <w:sz w:val="20"/>
          <w:szCs w:val="20"/>
        </w:rPr>
        <w:t>gender and sex?</w:t>
      </w:r>
    </w:p>
    <w:p w14:paraId="0818C459" w14:textId="77777777" w:rsidR="004362BE" w:rsidRDefault="004362BE">
      <w:pPr>
        <w:pStyle w:val="ListParagraph"/>
        <w:spacing w:before="100" w:beforeAutospacing="1" w:after="100" w:afterAutospacing="1"/>
        <w:ind w:left="1080"/>
        <w:jc w:val="both"/>
        <w:outlineLvl w:val="1"/>
        <w:rPr>
          <w:rFonts w:ascii="Arial" w:hAnsi="Arial" w:cs="Arial"/>
          <w:sz w:val="20"/>
          <w:szCs w:val="20"/>
        </w:rPr>
      </w:pPr>
    </w:p>
    <w:p w14:paraId="48105A66" w14:textId="77777777" w:rsidR="00016B33" w:rsidRDefault="00016B33">
      <w:pPr>
        <w:pStyle w:val="ListParagraph"/>
        <w:spacing w:before="100" w:beforeAutospacing="1" w:after="100" w:afterAutospacing="1"/>
        <w:ind w:left="1080"/>
        <w:jc w:val="both"/>
        <w:outlineLvl w:val="1"/>
        <w:rPr>
          <w:rFonts w:ascii="Arial" w:hAnsi="Arial" w:cs="Arial"/>
          <w:sz w:val="20"/>
          <w:szCs w:val="20"/>
        </w:rPr>
      </w:pPr>
    </w:p>
    <w:p w14:paraId="3668D319" w14:textId="77777777" w:rsidR="00016B33" w:rsidRDefault="00016B33">
      <w:pPr>
        <w:pStyle w:val="ListParagraph"/>
        <w:spacing w:before="100" w:beforeAutospacing="1" w:after="100" w:afterAutospacing="1"/>
        <w:ind w:left="1080"/>
        <w:jc w:val="both"/>
        <w:outlineLvl w:val="1"/>
        <w:rPr>
          <w:rFonts w:ascii="Arial" w:hAnsi="Arial" w:cs="Arial"/>
          <w:sz w:val="20"/>
          <w:szCs w:val="20"/>
        </w:rPr>
      </w:pPr>
    </w:p>
    <w:p w14:paraId="6E7729F7" w14:textId="77777777" w:rsidR="00016B33" w:rsidRPr="0064298D" w:rsidRDefault="00016B33">
      <w:pPr>
        <w:pStyle w:val="ListParagraph"/>
        <w:spacing w:before="100" w:beforeAutospacing="1" w:after="100" w:afterAutospacing="1"/>
        <w:ind w:left="1080"/>
        <w:jc w:val="both"/>
        <w:outlineLvl w:val="1"/>
        <w:rPr>
          <w:rFonts w:ascii="Arial" w:hAnsi="Arial" w:cs="Arial"/>
          <w:sz w:val="20"/>
          <w:szCs w:val="20"/>
        </w:rPr>
      </w:pPr>
    </w:p>
    <w:p w14:paraId="5A08FB06" w14:textId="77777777" w:rsidR="00AC63AF" w:rsidRPr="0064298D" w:rsidRDefault="00AC63AF" w:rsidP="00196E7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592F158" w14:textId="47E1CC76" w:rsidR="00BF0447" w:rsidRPr="0064298D" w:rsidRDefault="00BF04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hAnsi="Arial" w:cs="Arial"/>
          <w:sz w:val="20"/>
          <w:szCs w:val="20"/>
        </w:rPr>
        <w:t>How should you inquire about the patient</w:t>
      </w:r>
      <w:r w:rsidR="00B93286" w:rsidRPr="0064298D">
        <w:rPr>
          <w:rFonts w:ascii="Arial" w:hAnsi="Arial" w:cs="Arial"/>
          <w:sz w:val="20"/>
          <w:szCs w:val="20"/>
        </w:rPr>
        <w:t>’</w:t>
      </w:r>
      <w:r w:rsidRPr="0064298D">
        <w:rPr>
          <w:rFonts w:ascii="Arial" w:hAnsi="Arial" w:cs="Arial"/>
          <w:sz w:val="20"/>
          <w:szCs w:val="20"/>
        </w:rPr>
        <w:t>s surgical history?</w:t>
      </w:r>
    </w:p>
    <w:p w14:paraId="18EABB6A" w14:textId="77777777" w:rsidR="00AC63AF" w:rsidRPr="0064298D" w:rsidRDefault="00AC63A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5CF7CF92" w14:textId="77777777" w:rsidR="007802FF" w:rsidRDefault="007802FF" w:rsidP="00196E7C">
      <w:pPr>
        <w:pStyle w:val="ListParagraph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C91D84C" w14:textId="77777777" w:rsidR="00016B33" w:rsidRDefault="00016B33" w:rsidP="00196E7C">
      <w:pPr>
        <w:pStyle w:val="ListParagraph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223C748" w14:textId="77777777" w:rsidR="00016B33" w:rsidRDefault="00016B33" w:rsidP="00196E7C">
      <w:pPr>
        <w:pStyle w:val="ListParagraph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1A0EFBF" w14:textId="77777777" w:rsidR="00016B33" w:rsidRPr="003B3E82" w:rsidRDefault="00016B33" w:rsidP="00196E7C">
      <w:pPr>
        <w:pStyle w:val="ListParagraph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9E2FA8B" w14:textId="77777777" w:rsidR="007802FF" w:rsidRPr="003B3E82" w:rsidRDefault="007802FF">
      <w:pPr>
        <w:pStyle w:val="ListParagraph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3EB845" w14:textId="77777777" w:rsidR="00BF0447" w:rsidRPr="003B3E82" w:rsidRDefault="00BF04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B3E82">
        <w:rPr>
          <w:rFonts w:ascii="Arial" w:hAnsi="Arial" w:cs="Arial"/>
          <w:sz w:val="20"/>
          <w:szCs w:val="20"/>
        </w:rPr>
        <w:t xml:space="preserve">What are common </w:t>
      </w:r>
      <w:r w:rsidR="00810FB9" w:rsidRPr="003B3E82">
        <w:rPr>
          <w:rFonts w:ascii="Arial" w:hAnsi="Arial" w:cs="Arial"/>
          <w:sz w:val="20"/>
          <w:szCs w:val="20"/>
        </w:rPr>
        <w:t xml:space="preserve">surgeries for transgender females and what are the common </w:t>
      </w:r>
      <w:r w:rsidRPr="003B3E82">
        <w:rPr>
          <w:rFonts w:ascii="Arial" w:hAnsi="Arial" w:cs="Arial"/>
          <w:sz w:val="20"/>
          <w:szCs w:val="20"/>
        </w:rPr>
        <w:t xml:space="preserve">complications </w:t>
      </w:r>
      <w:r w:rsidR="00810FB9" w:rsidRPr="003B3E82">
        <w:rPr>
          <w:rFonts w:ascii="Arial" w:hAnsi="Arial" w:cs="Arial"/>
          <w:sz w:val="20"/>
          <w:szCs w:val="20"/>
        </w:rPr>
        <w:t xml:space="preserve">for those </w:t>
      </w:r>
      <w:r w:rsidRPr="003B3E82">
        <w:rPr>
          <w:rFonts w:ascii="Arial" w:hAnsi="Arial" w:cs="Arial"/>
          <w:sz w:val="20"/>
          <w:szCs w:val="20"/>
        </w:rPr>
        <w:t>surgeries?</w:t>
      </w:r>
    </w:p>
    <w:p w14:paraId="0536C655" w14:textId="77777777" w:rsidR="00D25E18" w:rsidRPr="003B3E82" w:rsidRDefault="00D25E18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147BCDD5" w14:textId="77777777" w:rsidR="00D25E18" w:rsidRDefault="00D25E18" w:rsidP="00196E7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361A3D04" w14:textId="77777777" w:rsidR="00016B33" w:rsidRDefault="00016B33" w:rsidP="00196E7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7A398FF" w14:textId="77777777" w:rsidR="00016B33" w:rsidRDefault="00016B33" w:rsidP="00196E7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4A31409C" w14:textId="77777777" w:rsidR="00016B33" w:rsidRPr="003B3E82" w:rsidRDefault="00016B33" w:rsidP="00196E7C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7130072E" w14:textId="77777777" w:rsidR="00AC63AF" w:rsidRPr="0064298D" w:rsidRDefault="00AC63AF">
      <w:pPr>
        <w:pStyle w:val="ListParagraph"/>
        <w:spacing w:before="100" w:beforeAutospacing="1" w:after="100" w:afterAutospacing="1"/>
        <w:ind w:left="1080"/>
        <w:jc w:val="both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14:paraId="1C257C15" w14:textId="03D966B0" w:rsidR="00BF0447" w:rsidRPr="002D587E" w:rsidRDefault="00BF044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4298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D587E">
        <w:rPr>
          <w:rFonts w:ascii="Arial" w:hAnsi="Arial" w:cs="Arial"/>
          <w:sz w:val="20"/>
          <w:szCs w:val="20"/>
        </w:rPr>
        <w:t>What a</w:t>
      </w:r>
      <w:r w:rsidR="002D587E">
        <w:rPr>
          <w:rFonts w:ascii="Arial" w:hAnsi="Arial" w:cs="Arial"/>
          <w:sz w:val="20"/>
          <w:szCs w:val="20"/>
        </w:rPr>
        <w:t>re the most</w:t>
      </w:r>
      <w:r w:rsidR="00386BC2" w:rsidRPr="002D587E">
        <w:rPr>
          <w:rFonts w:ascii="Arial" w:hAnsi="Arial" w:cs="Arial"/>
          <w:sz w:val="20"/>
          <w:szCs w:val="20"/>
        </w:rPr>
        <w:t xml:space="preserve"> common medications used by transgender </w:t>
      </w:r>
      <w:r w:rsidR="008A5007">
        <w:rPr>
          <w:rFonts w:ascii="Arial" w:hAnsi="Arial" w:cs="Arial"/>
          <w:sz w:val="20"/>
          <w:szCs w:val="20"/>
        </w:rPr>
        <w:t>patients</w:t>
      </w:r>
      <w:r w:rsidR="00386BC2" w:rsidRPr="002D587E">
        <w:rPr>
          <w:rFonts w:ascii="Arial" w:hAnsi="Arial" w:cs="Arial"/>
          <w:sz w:val="20"/>
          <w:szCs w:val="20"/>
        </w:rPr>
        <w:t>?</w:t>
      </w:r>
      <w:r w:rsidR="00386BC2" w:rsidRPr="002D587E">
        <w:rPr>
          <w:rFonts w:ascii="Arial" w:hAnsi="Arial" w:cs="Arial"/>
          <w:noProof/>
          <w:sz w:val="20"/>
          <w:szCs w:val="20"/>
        </w:rPr>
        <w:t xml:space="preserve"> </w:t>
      </w:r>
    </w:p>
    <w:p w14:paraId="7BF1574A" w14:textId="663C8A81" w:rsidR="00386BC2" w:rsidRDefault="008D68A4">
      <w:pPr>
        <w:jc w:val="both"/>
        <w:rPr>
          <w:rFonts w:ascii="Arial" w:hAnsi="Arial" w:cs="Arial"/>
          <w:sz w:val="20"/>
          <w:szCs w:val="20"/>
        </w:rPr>
      </w:pPr>
      <w:r w:rsidRPr="0032204C">
        <w:rPr>
          <w:rFonts w:ascii="Arial" w:hAnsi="Arial" w:cs="Arial"/>
          <w:sz w:val="20"/>
          <w:szCs w:val="20"/>
        </w:rPr>
        <w:t xml:space="preserve"> </w:t>
      </w:r>
    </w:p>
    <w:p w14:paraId="3B9A62D6" w14:textId="77777777" w:rsidR="005A009B" w:rsidRDefault="005A009B">
      <w:pPr>
        <w:jc w:val="both"/>
        <w:rPr>
          <w:rFonts w:ascii="Arial" w:hAnsi="Arial" w:cs="Arial"/>
          <w:sz w:val="20"/>
          <w:szCs w:val="20"/>
        </w:rPr>
      </w:pPr>
    </w:p>
    <w:p w14:paraId="5E886F92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332D1825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0B013A8F" w14:textId="77777777" w:rsidR="00016B33" w:rsidRDefault="00016B33">
      <w:pPr>
        <w:jc w:val="both"/>
        <w:rPr>
          <w:rFonts w:ascii="Arial" w:hAnsi="Arial" w:cs="Arial"/>
          <w:sz w:val="20"/>
          <w:szCs w:val="20"/>
        </w:rPr>
      </w:pPr>
    </w:p>
    <w:p w14:paraId="086EE7BF" w14:textId="77777777" w:rsidR="005A009B" w:rsidRPr="0032204C" w:rsidRDefault="005A009B">
      <w:pPr>
        <w:jc w:val="both"/>
        <w:rPr>
          <w:rFonts w:ascii="Arial" w:hAnsi="Arial" w:cs="Arial"/>
          <w:sz w:val="20"/>
          <w:szCs w:val="20"/>
        </w:rPr>
      </w:pPr>
    </w:p>
    <w:p w14:paraId="23E423EF" w14:textId="485B42FE" w:rsidR="00386BC2" w:rsidRDefault="0046594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1A4">
        <w:rPr>
          <w:rFonts w:ascii="Arial" w:hAnsi="Arial" w:cs="Arial"/>
          <w:sz w:val="20"/>
          <w:szCs w:val="20"/>
        </w:rPr>
        <w:t>What are the common complications of hormone therapy?</w:t>
      </w:r>
    </w:p>
    <w:p w14:paraId="4367C939" w14:textId="77777777" w:rsidR="007F1698" w:rsidRDefault="007F1698" w:rsidP="007F1698">
      <w:pPr>
        <w:jc w:val="both"/>
        <w:rPr>
          <w:rFonts w:ascii="Arial" w:hAnsi="Arial" w:cs="Arial"/>
          <w:sz w:val="20"/>
          <w:szCs w:val="20"/>
        </w:rPr>
      </w:pPr>
    </w:p>
    <w:p w14:paraId="30F5F592" w14:textId="77777777" w:rsidR="007F1698" w:rsidRDefault="007F1698" w:rsidP="007F169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70"/>
      </w:tblGrid>
      <w:tr w:rsidR="007F1698" w:rsidRPr="006132F4" w14:paraId="6D6A50AF" w14:textId="77777777" w:rsidTr="006132F4">
        <w:trPr>
          <w:trHeight w:val="264"/>
        </w:trPr>
        <w:tc>
          <w:tcPr>
            <w:tcW w:w="2268" w:type="dxa"/>
          </w:tcPr>
          <w:p w14:paraId="70983FA8" w14:textId="77777777" w:rsidR="007F1698" w:rsidRPr="006647CA" w:rsidRDefault="007F1698" w:rsidP="007F1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7CA">
              <w:rPr>
                <w:rFonts w:ascii="Arial" w:hAnsi="Arial" w:cs="Arial"/>
                <w:b/>
                <w:sz w:val="20"/>
                <w:szCs w:val="20"/>
              </w:rPr>
              <w:t>TERM</w:t>
            </w:r>
          </w:p>
        </w:tc>
        <w:tc>
          <w:tcPr>
            <w:tcW w:w="6570" w:type="dxa"/>
          </w:tcPr>
          <w:p w14:paraId="1BCEF3C3" w14:textId="77777777" w:rsidR="007F1698" w:rsidRPr="006647CA" w:rsidRDefault="007F1698" w:rsidP="007F1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7CA">
              <w:rPr>
                <w:rFonts w:ascii="Arial" w:hAnsi="Arial" w:cs="Arial"/>
                <w:b/>
                <w:sz w:val="20"/>
                <w:szCs w:val="20"/>
              </w:rPr>
              <w:t>DEFINITION</w:t>
            </w:r>
          </w:p>
        </w:tc>
      </w:tr>
      <w:tr w:rsidR="007F1698" w:rsidRPr="006132F4" w14:paraId="15FB1369" w14:textId="77777777" w:rsidTr="006132F4">
        <w:trPr>
          <w:trHeight w:val="264"/>
        </w:trPr>
        <w:tc>
          <w:tcPr>
            <w:tcW w:w="2268" w:type="dxa"/>
          </w:tcPr>
          <w:p w14:paraId="22A64967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6570" w:type="dxa"/>
          </w:tcPr>
          <w:p w14:paraId="605AC9C2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Sexual attraction to males and females</w:t>
            </w:r>
          </w:p>
        </w:tc>
      </w:tr>
      <w:tr w:rsidR="007F1698" w:rsidRPr="006132F4" w14:paraId="5F00C670" w14:textId="77777777" w:rsidTr="006132F4">
        <w:trPr>
          <w:trHeight w:val="264"/>
        </w:trPr>
        <w:tc>
          <w:tcPr>
            <w:tcW w:w="2268" w:type="dxa"/>
          </w:tcPr>
          <w:p w14:paraId="5C246741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Cis-Gender</w:t>
            </w:r>
          </w:p>
        </w:tc>
        <w:tc>
          <w:tcPr>
            <w:tcW w:w="6570" w:type="dxa"/>
          </w:tcPr>
          <w:p w14:paraId="7B9A06B8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identity aligns with assigned sex</w:t>
            </w:r>
          </w:p>
        </w:tc>
      </w:tr>
      <w:tr w:rsidR="007F1698" w:rsidRPr="006132F4" w14:paraId="50A35953" w14:textId="77777777" w:rsidTr="006132F4">
        <w:trPr>
          <w:trHeight w:val="264"/>
        </w:trPr>
        <w:tc>
          <w:tcPr>
            <w:tcW w:w="2268" w:type="dxa"/>
          </w:tcPr>
          <w:p w14:paraId="3BC9B1CC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Disorder of Sex Development</w:t>
            </w:r>
          </w:p>
        </w:tc>
        <w:tc>
          <w:tcPr>
            <w:tcW w:w="6570" w:type="dxa"/>
          </w:tcPr>
          <w:p w14:paraId="43B6A34B" w14:textId="77777777" w:rsidR="007F1698" w:rsidRPr="006132F4" w:rsidRDefault="007F1698" w:rsidP="007F1698">
            <w:pPr>
              <w:tabs>
                <w:tab w:val="left" w:pos="2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Umbrella term for congenital conditions with atypical development of chromosomes, gonads, or anatomical sex</w:t>
            </w:r>
          </w:p>
        </w:tc>
      </w:tr>
      <w:tr w:rsidR="007F1698" w:rsidRPr="006132F4" w14:paraId="5137F072" w14:textId="77777777" w:rsidTr="006132F4">
        <w:trPr>
          <w:trHeight w:val="264"/>
        </w:trPr>
        <w:tc>
          <w:tcPr>
            <w:tcW w:w="2268" w:type="dxa"/>
          </w:tcPr>
          <w:p w14:paraId="25A6A044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Female-to-Male (FTM)</w:t>
            </w:r>
          </w:p>
        </w:tc>
        <w:tc>
          <w:tcPr>
            <w:tcW w:w="6570" w:type="dxa"/>
          </w:tcPr>
          <w:p w14:paraId="045F25C0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Assigned “female” at birth, but gender identity is male</w:t>
            </w:r>
          </w:p>
        </w:tc>
      </w:tr>
      <w:tr w:rsidR="007F1698" w:rsidRPr="006132F4" w14:paraId="72CE1F8F" w14:textId="77777777" w:rsidTr="006132F4">
        <w:trPr>
          <w:trHeight w:val="264"/>
        </w:trPr>
        <w:tc>
          <w:tcPr>
            <w:tcW w:w="2268" w:type="dxa"/>
          </w:tcPr>
          <w:p w14:paraId="6A101A02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6570" w:type="dxa"/>
          </w:tcPr>
          <w:p w14:paraId="06C29B57" w14:textId="77777777" w:rsidR="007F1698" w:rsidRPr="006132F4" w:rsidRDefault="007F1698" w:rsidP="007F1698">
            <w:pPr>
              <w:tabs>
                <w:tab w:val="left" w:pos="2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 xml:space="preserve">A man (or woman) whose primary sexual attraction or romantic feelings are toward someone of the same gender </w:t>
            </w:r>
          </w:p>
        </w:tc>
      </w:tr>
      <w:tr w:rsidR="007F1698" w:rsidRPr="006132F4" w14:paraId="587A1478" w14:textId="77777777" w:rsidTr="006132F4">
        <w:trPr>
          <w:trHeight w:val="264"/>
        </w:trPr>
        <w:tc>
          <w:tcPr>
            <w:tcW w:w="2268" w:type="dxa"/>
          </w:tcPr>
          <w:p w14:paraId="689DB1AD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570" w:type="dxa"/>
          </w:tcPr>
          <w:p w14:paraId="04B61617" w14:textId="77777777" w:rsidR="007F1698" w:rsidRPr="006132F4" w:rsidRDefault="007F1698" w:rsidP="007F1698">
            <w:pPr>
              <w:tabs>
                <w:tab w:val="left" w:pos="21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Psychological, behavioral, and cultural characteristics associated with maleness and femaleness</w:t>
            </w:r>
            <w:r w:rsidRPr="006132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1698" w:rsidRPr="006132F4" w14:paraId="5D011D31" w14:textId="77777777" w:rsidTr="006132F4">
        <w:trPr>
          <w:trHeight w:val="264"/>
        </w:trPr>
        <w:tc>
          <w:tcPr>
            <w:tcW w:w="2268" w:type="dxa"/>
          </w:tcPr>
          <w:p w14:paraId="5E702E90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Affirming</w:t>
            </w:r>
          </w:p>
        </w:tc>
        <w:tc>
          <w:tcPr>
            <w:tcW w:w="6570" w:type="dxa"/>
          </w:tcPr>
          <w:p w14:paraId="10B72488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 xml:space="preserve">Behaviors or interventions that affirm a transgender person’s gender identity (e.g. hormone use, choice of clothing, mannerisms, </w:t>
            </w:r>
            <w:proofErr w:type="spellStart"/>
            <w:r w:rsidRPr="006132F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132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1698" w:rsidRPr="006132F4" w14:paraId="56E8B862" w14:textId="77777777" w:rsidTr="006132F4">
        <w:trPr>
          <w:trHeight w:val="264"/>
        </w:trPr>
        <w:tc>
          <w:tcPr>
            <w:tcW w:w="2268" w:type="dxa"/>
          </w:tcPr>
          <w:p w14:paraId="0EC9CBF4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Discordance</w:t>
            </w:r>
          </w:p>
        </w:tc>
        <w:tc>
          <w:tcPr>
            <w:tcW w:w="6570" w:type="dxa"/>
          </w:tcPr>
          <w:p w14:paraId="6EA1F960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Mismatch between assigned sex and gender identity</w:t>
            </w:r>
          </w:p>
        </w:tc>
      </w:tr>
      <w:tr w:rsidR="007F1698" w:rsidRPr="006132F4" w14:paraId="06EC8E39" w14:textId="77777777" w:rsidTr="006132F4">
        <w:trPr>
          <w:trHeight w:val="264"/>
        </w:trPr>
        <w:tc>
          <w:tcPr>
            <w:tcW w:w="2268" w:type="dxa"/>
          </w:tcPr>
          <w:p w14:paraId="38F65FA5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Expression</w:t>
            </w:r>
          </w:p>
        </w:tc>
        <w:tc>
          <w:tcPr>
            <w:tcW w:w="6570" w:type="dxa"/>
          </w:tcPr>
          <w:p w14:paraId="5EC000D3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Behavior, clothing, or personal traits that communicate one’s gender identity</w:t>
            </w:r>
          </w:p>
        </w:tc>
      </w:tr>
      <w:tr w:rsidR="007F1698" w:rsidRPr="006132F4" w14:paraId="2B3AE0DD" w14:textId="77777777" w:rsidTr="006132F4">
        <w:trPr>
          <w:trHeight w:val="264"/>
        </w:trPr>
        <w:tc>
          <w:tcPr>
            <w:tcW w:w="2268" w:type="dxa"/>
          </w:tcPr>
          <w:p w14:paraId="3C18E5F1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Identity</w:t>
            </w:r>
          </w:p>
        </w:tc>
        <w:tc>
          <w:tcPr>
            <w:tcW w:w="6570" w:type="dxa"/>
          </w:tcPr>
          <w:p w14:paraId="223A2219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Personal or subjective sense of self as belonging to a particular gender</w:t>
            </w:r>
          </w:p>
        </w:tc>
      </w:tr>
      <w:tr w:rsidR="007F1698" w:rsidRPr="006132F4" w14:paraId="69C8D957" w14:textId="77777777" w:rsidTr="006132F4">
        <w:trPr>
          <w:trHeight w:val="264"/>
        </w:trPr>
        <w:tc>
          <w:tcPr>
            <w:tcW w:w="2268" w:type="dxa"/>
          </w:tcPr>
          <w:p w14:paraId="0CD15894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Homophobia</w:t>
            </w:r>
          </w:p>
        </w:tc>
        <w:tc>
          <w:tcPr>
            <w:tcW w:w="6570" w:type="dxa"/>
          </w:tcPr>
          <w:p w14:paraId="563FD485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Prejudice against and dislike of people who are lesbian, gay or bisexual</w:t>
            </w:r>
          </w:p>
        </w:tc>
      </w:tr>
      <w:tr w:rsidR="007F1698" w:rsidRPr="006132F4" w14:paraId="30079C12" w14:textId="77777777" w:rsidTr="006132F4">
        <w:trPr>
          <w:trHeight w:val="264"/>
        </w:trPr>
        <w:tc>
          <w:tcPr>
            <w:tcW w:w="2268" w:type="dxa"/>
          </w:tcPr>
          <w:p w14:paraId="5946D571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6570" w:type="dxa"/>
          </w:tcPr>
          <w:p w14:paraId="0D772D0A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 xml:space="preserve">A woman whose primary sexual attraction or romantic feelings are for someone of the same gender </w:t>
            </w:r>
          </w:p>
        </w:tc>
      </w:tr>
      <w:tr w:rsidR="007F1698" w:rsidRPr="006132F4" w14:paraId="355B9356" w14:textId="77777777" w:rsidTr="006132F4">
        <w:trPr>
          <w:trHeight w:val="264"/>
        </w:trPr>
        <w:tc>
          <w:tcPr>
            <w:tcW w:w="2268" w:type="dxa"/>
          </w:tcPr>
          <w:p w14:paraId="2EFB244C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Male-to-Female (MTF)</w:t>
            </w:r>
          </w:p>
        </w:tc>
        <w:tc>
          <w:tcPr>
            <w:tcW w:w="6570" w:type="dxa"/>
          </w:tcPr>
          <w:p w14:paraId="73AC5591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Assigned "male” at birth, but gender identity is female</w:t>
            </w:r>
          </w:p>
        </w:tc>
      </w:tr>
      <w:tr w:rsidR="007F1698" w:rsidRPr="006132F4" w14:paraId="6F7CC1C4" w14:textId="77777777" w:rsidTr="006132F4">
        <w:trPr>
          <w:trHeight w:val="264"/>
        </w:trPr>
        <w:tc>
          <w:tcPr>
            <w:tcW w:w="2268" w:type="dxa"/>
          </w:tcPr>
          <w:p w14:paraId="1530273B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Queer</w:t>
            </w:r>
          </w:p>
        </w:tc>
        <w:tc>
          <w:tcPr>
            <w:tcW w:w="6570" w:type="dxa"/>
          </w:tcPr>
          <w:p w14:paraId="735DC5DE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Umbrella term for people who do not identify as heterosexual and/or cisgender</w:t>
            </w:r>
          </w:p>
        </w:tc>
      </w:tr>
      <w:tr w:rsidR="007F1698" w:rsidRPr="006132F4" w14:paraId="7FC30C46" w14:textId="77777777" w:rsidTr="006132F4">
        <w:trPr>
          <w:trHeight w:val="264"/>
        </w:trPr>
        <w:tc>
          <w:tcPr>
            <w:tcW w:w="2268" w:type="dxa"/>
          </w:tcPr>
          <w:p w14:paraId="2022809B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Sex (Natal Sex)</w:t>
            </w:r>
          </w:p>
        </w:tc>
        <w:tc>
          <w:tcPr>
            <w:tcW w:w="6570" w:type="dxa"/>
          </w:tcPr>
          <w:p w14:paraId="66AC6C49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Biological traits associated with being male or female</w:t>
            </w:r>
          </w:p>
        </w:tc>
      </w:tr>
      <w:tr w:rsidR="007F1698" w:rsidRPr="006132F4" w14:paraId="4457DB5C" w14:textId="77777777" w:rsidTr="006132F4">
        <w:trPr>
          <w:trHeight w:val="264"/>
        </w:trPr>
        <w:tc>
          <w:tcPr>
            <w:tcW w:w="2268" w:type="dxa"/>
          </w:tcPr>
          <w:p w14:paraId="78BADEE0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6570" w:type="dxa"/>
          </w:tcPr>
          <w:p w14:paraId="3405248C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Sexual attraction or arousal to a particular gender or genders</w:t>
            </w:r>
          </w:p>
        </w:tc>
      </w:tr>
      <w:tr w:rsidR="007F1698" w:rsidRPr="006132F4" w14:paraId="3E29DB14" w14:textId="77777777" w:rsidTr="006132F4">
        <w:trPr>
          <w:trHeight w:val="264"/>
        </w:trPr>
        <w:tc>
          <w:tcPr>
            <w:tcW w:w="2268" w:type="dxa"/>
          </w:tcPr>
          <w:p w14:paraId="798743B7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Transgender</w:t>
            </w:r>
          </w:p>
        </w:tc>
        <w:tc>
          <w:tcPr>
            <w:tcW w:w="6570" w:type="dxa"/>
          </w:tcPr>
          <w:p w14:paraId="553DC7E1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Gender identity does not align with assigned sex</w:t>
            </w:r>
          </w:p>
        </w:tc>
      </w:tr>
      <w:tr w:rsidR="007F1698" w:rsidRPr="006132F4" w14:paraId="3D57E670" w14:textId="77777777" w:rsidTr="006132F4">
        <w:trPr>
          <w:trHeight w:val="264"/>
        </w:trPr>
        <w:tc>
          <w:tcPr>
            <w:tcW w:w="2268" w:type="dxa"/>
          </w:tcPr>
          <w:p w14:paraId="66C66E06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Transitioning</w:t>
            </w:r>
          </w:p>
        </w:tc>
        <w:tc>
          <w:tcPr>
            <w:tcW w:w="6570" w:type="dxa"/>
          </w:tcPr>
          <w:p w14:paraId="6577BB43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 xml:space="preserve">Process of newly presenting oneself as another gender </w:t>
            </w:r>
          </w:p>
        </w:tc>
      </w:tr>
      <w:tr w:rsidR="007F1698" w:rsidRPr="006132F4" w14:paraId="2C66CFC3" w14:textId="77777777" w:rsidTr="006132F4">
        <w:trPr>
          <w:trHeight w:val="264"/>
        </w:trPr>
        <w:tc>
          <w:tcPr>
            <w:tcW w:w="2268" w:type="dxa"/>
          </w:tcPr>
          <w:p w14:paraId="70301C25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Transphobia</w:t>
            </w:r>
          </w:p>
        </w:tc>
        <w:tc>
          <w:tcPr>
            <w:tcW w:w="6570" w:type="dxa"/>
          </w:tcPr>
          <w:p w14:paraId="00B49FE5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Prejudice against and dislike of transgender people</w:t>
            </w:r>
          </w:p>
        </w:tc>
      </w:tr>
      <w:tr w:rsidR="007F1698" w:rsidRPr="006132F4" w14:paraId="7C08CC19" w14:textId="77777777" w:rsidTr="006132F4">
        <w:trPr>
          <w:trHeight w:val="264"/>
        </w:trPr>
        <w:tc>
          <w:tcPr>
            <w:tcW w:w="2268" w:type="dxa"/>
          </w:tcPr>
          <w:p w14:paraId="7F3D2ED3" w14:textId="77777777" w:rsidR="007F1698" w:rsidRPr="006132F4" w:rsidRDefault="007F1698" w:rsidP="007F1698">
            <w:pPr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Transsexual</w:t>
            </w:r>
          </w:p>
        </w:tc>
        <w:tc>
          <w:tcPr>
            <w:tcW w:w="6570" w:type="dxa"/>
          </w:tcPr>
          <w:p w14:paraId="693A48D4" w14:textId="77777777" w:rsidR="007F1698" w:rsidRPr="006132F4" w:rsidRDefault="007F1698" w:rsidP="007F16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2F4">
              <w:rPr>
                <w:rFonts w:ascii="Arial" w:hAnsi="Arial" w:cs="Arial"/>
                <w:sz w:val="20"/>
                <w:szCs w:val="20"/>
              </w:rPr>
              <w:t>Historically used to refer to gender-affirming expressions of identity</w:t>
            </w:r>
          </w:p>
        </w:tc>
      </w:tr>
    </w:tbl>
    <w:p w14:paraId="0A519B8D" w14:textId="77777777" w:rsidR="006647CA" w:rsidRDefault="007F1698" w:rsidP="007F1698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6132F4">
        <w:rPr>
          <w:rFonts w:ascii="Arial" w:eastAsia="Times New Roman" w:hAnsi="Arial" w:cs="Arial"/>
          <w:sz w:val="20"/>
          <w:szCs w:val="20"/>
        </w:rPr>
        <w:t>Jalali</w:t>
      </w:r>
      <w:proofErr w:type="spellEnd"/>
      <w:r w:rsidRPr="006132F4">
        <w:rPr>
          <w:rFonts w:ascii="Arial" w:eastAsia="Times New Roman" w:hAnsi="Arial" w:cs="Arial"/>
          <w:sz w:val="20"/>
          <w:szCs w:val="20"/>
        </w:rPr>
        <w:t xml:space="preserve"> S, Sauer LM. Improving Care for Lesbian, Gay, Bisexual, and Transgender Patients in the Emergency Department. </w:t>
      </w:r>
      <w:r w:rsidRPr="006132F4">
        <w:rPr>
          <w:rFonts w:ascii="Arial" w:eastAsia="Times New Roman" w:hAnsi="Arial" w:cs="Arial"/>
          <w:i/>
          <w:iCs/>
          <w:sz w:val="20"/>
          <w:szCs w:val="20"/>
        </w:rPr>
        <w:t xml:space="preserve">Ann </w:t>
      </w:r>
      <w:proofErr w:type="spellStart"/>
      <w:r w:rsidRPr="006132F4">
        <w:rPr>
          <w:rFonts w:ascii="Arial" w:eastAsia="Times New Roman" w:hAnsi="Arial" w:cs="Arial"/>
          <w:i/>
          <w:iCs/>
          <w:sz w:val="20"/>
          <w:szCs w:val="20"/>
        </w:rPr>
        <w:t>Emerg</w:t>
      </w:r>
      <w:proofErr w:type="spellEnd"/>
      <w:r w:rsidRPr="006132F4">
        <w:rPr>
          <w:rFonts w:ascii="Arial" w:eastAsia="Times New Roman" w:hAnsi="Arial" w:cs="Arial"/>
          <w:i/>
          <w:iCs/>
          <w:sz w:val="20"/>
          <w:szCs w:val="20"/>
        </w:rPr>
        <w:t xml:space="preserve"> Med</w:t>
      </w:r>
      <w:r w:rsidR="006647CA">
        <w:rPr>
          <w:rFonts w:ascii="Arial" w:eastAsia="Times New Roman" w:hAnsi="Arial" w:cs="Arial"/>
          <w:sz w:val="20"/>
          <w:szCs w:val="20"/>
        </w:rPr>
        <w:t>. March 2015.</w:t>
      </w:r>
    </w:p>
    <w:p w14:paraId="788AC82D" w14:textId="77C916CF" w:rsidR="007F1698" w:rsidRPr="006132F4" w:rsidRDefault="007F1698" w:rsidP="007F1698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6132F4">
        <w:rPr>
          <w:rFonts w:ascii="Arial" w:eastAsia="Times New Roman" w:hAnsi="Arial" w:cs="Arial"/>
          <w:sz w:val="20"/>
          <w:szCs w:val="20"/>
        </w:rPr>
        <w:t>doi:10.1016/j.annemergmed</w:t>
      </w:r>
      <w:proofErr w:type="gramEnd"/>
      <w:r w:rsidRPr="006132F4">
        <w:rPr>
          <w:rFonts w:ascii="Arial" w:eastAsia="Times New Roman" w:hAnsi="Arial" w:cs="Arial"/>
          <w:sz w:val="20"/>
          <w:szCs w:val="20"/>
        </w:rPr>
        <w:t>.2015.02.004.</w:t>
      </w:r>
    </w:p>
    <w:p w14:paraId="445D7270" w14:textId="77777777" w:rsidR="006647CA" w:rsidRDefault="007F1698" w:rsidP="007F1698">
      <w:pPr>
        <w:rPr>
          <w:rFonts w:ascii="Arial" w:hAnsi="Arial" w:cs="Arial"/>
          <w:i/>
          <w:sz w:val="20"/>
        </w:rPr>
      </w:pPr>
      <w:r w:rsidRPr="006132F4">
        <w:rPr>
          <w:rFonts w:ascii="Arial" w:hAnsi="Arial" w:cs="Arial"/>
          <w:i/>
          <w:sz w:val="20"/>
        </w:rPr>
        <w:t xml:space="preserve">Printed with permission of Dr. </w:t>
      </w:r>
      <w:proofErr w:type="spellStart"/>
      <w:r w:rsidRPr="006132F4">
        <w:rPr>
          <w:rFonts w:ascii="Arial" w:hAnsi="Arial" w:cs="Arial"/>
          <w:i/>
          <w:sz w:val="20"/>
        </w:rPr>
        <w:t>Jalali</w:t>
      </w:r>
      <w:proofErr w:type="spellEnd"/>
      <w:r w:rsidRPr="006132F4">
        <w:rPr>
          <w:rFonts w:ascii="Arial" w:hAnsi="Arial" w:cs="Arial"/>
          <w:i/>
          <w:sz w:val="20"/>
        </w:rPr>
        <w:t xml:space="preserve">;  </w:t>
      </w:r>
    </w:p>
    <w:p w14:paraId="7F2E522A" w14:textId="131A8CFC" w:rsidR="007F1698" w:rsidRPr="006132F4" w:rsidRDefault="007F1698" w:rsidP="007F1698">
      <w:pPr>
        <w:rPr>
          <w:rFonts w:ascii="Arial" w:hAnsi="Arial" w:cs="Arial"/>
          <w:i/>
          <w:sz w:val="20"/>
        </w:rPr>
      </w:pPr>
      <w:r w:rsidRPr="006132F4">
        <w:rPr>
          <w:rFonts w:ascii="Arial" w:hAnsi="Arial" w:cs="Arial"/>
          <w:i/>
          <w:sz w:val="20"/>
        </w:rPr>
        <w:t>Revisions by Anne Daul, MD</w:t>
      </w:r>
      <w:r w:rsidR="006647CA">
        <w:rPr>
          <w:rFonts w:ascii="Arial" w:hAnsi="Arial" w:cs="Arial"/>
          <w:i/>
          <w:sz w:val="20"/>
        </w:rPr>
        <w:t xml:space="preserve"> MPH</w:t>
      </w:r>
      <w:r w:rsidRPr="006132F4">
        <w:rPr>
          <w:rFonts w:ascii="Arial" w:hAnsi="Arial" w:cs="Arial"/>
          <w:i/>
          <w:sz w:val="20"/>
        </w:rPr>
        <w:t xml:space="preserve"> and </w:t>
      </w:r>
      <w:proofErr w:type="spellStart"/>
      <w:r w:rsidRPr="006132F4">
        <w:rPr>
          <w:rFonts w:ascii="Arial" w:hAnsi="Arial" w:cs="Arial"/>
          <w:i/>
          <w:sz w:val="20"/>
        </w:rPr>
        <w:t>Makini</w:t>
      </w:r>
      <w:proofErr w:type="spellEnd"/>
      <w:r w:rsidRPr="006132F4">
        <w:rPr>
          <w:rFonts w:ascii="Arial" w:hAnsi="Arial" w:cs="Arial"/>
          <w:i/>
          <w:sz w:val="20"/>
        </w:rPr>
        <w:t xml:space="preserve"> Chisolm-</w:t>
      </w:r>
      <w:proofErr w:type="spellStart"/>
      <w:r w:rsidRPr="006132F4">
        <w:rPr>
          <w:rFonts w:ascii="Arial" w:hAnsi="Arial" w:cs="Arial"/>
          <w:i/>
          <w:sz w:val="20"/>
        </w:rPr>
        <w:t>Straker</w:t>
      </w:r>
      <w:proofErr w:type="spellEnd"/>
      <w:r w:rsidRPr="006132F4">
        <w:rPr>
          <w:rFonts w:ascii="Arial" w:hAnsi="Arial" w:cs="Arial"/>
          <w:i/>
          <w:sz w:val="20"/>
        </w:rPr>
        <w:t>, MD MPH</w:t>
      </w:r>
    </w:p>
    <w:p w14:paraId="219E76F7" w14:textId="77777777" w:rsidR="007F1698" w:rsidRPr="006132F4" w:rsidRDefault="007F1698" w:rsidP="007F1698">
      <w:pPr>
        <w:rPr>
          <w:rFonts w:ascii="Arial" w:hAnsi="Arial" w:cs="Arial"/>
          <w:i/>
          <w:sz w:val="20"/>
        </w:rPr>
      </w:pPr>
    </w:p>
    <w:p w14:paraId="76E98C46" w14:textId="77777777" w:rsidR="007F1698" w:rsidRDefault="007F1698" w:rsidP="007F1698">
      <w:pPr>
        <w:jc w:val="center"/>
      </w:pPr>
      <w:r>
        <w:rPr>
          <w:noProof/>
        </w:rPr>
        <w:lastRenderedPageBreak/>
        <w:drawing>
          <wp:inline distT="0" distB="0" distL="0" distR="0" wp14:anchorId="78B761F2" wp14:editId="2E357F52">
            <wp:extent cx="5613400" cy="3651308"/>
            <wp:effectExtent l="0" t="0" r="0" b="6350"/>
            <wp:docPr id="3" name="Picture 3" descr="Macintosh HD:Users:annedaul:Desktop:Screen Shot 2016-02-03 at 3.2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edaul:Desktop:Screen Shot 2016-02-03 at 3.22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07" cy="36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7817" w14:textId="77777777" w:rsidR="007F1698" w:rsidRDefault="007F1698" w:rsidP="007F1698">
      <w:pPr>
        <w:jc w:val="both"/>
        <w:rPr>
          <w:rFonts w:ascii="Arial" w:hAnsi="Arial" w:cs="Arial"/>
          <w:sz w:val="20"/>
          <w:szCs w:val="20"/>
        </w:rPr>
      </w:pPr>
    </w:p>
    <w:p w14:paraId="0F7AAF00" w14:textId="77777777" w:rsidR="007F1698" w:rsidRPr="007F1698" w:rsidRDefault="007F1698" w:rsidP="007F1698">
      <w:pPr>
        <w:jc w:val="both"/>
        <w:rPr>
          <w:rFonts w:ascii="Arial" w:hAnsi="Arial" w:cs="Arial"/>
          <w:sz w:val="20"/>
          <w:szCs w:val="20"/>
        </w:rPr>
      </w:pPr>
    </w:p>
    <w:p w14:paraId="47EABFB2" w14:textId="77777777" w:rsidR="004461A4" w:rsidRDefault="004461A4">
      <w:pPr>
        <w:jc w:val="both"/>
        <w:rPr>
          <w:rFonts w:ascii="Arial" w:hAnsi="Arial" w:cs="Arial"/>
          <w:sz w:val="20"/>
          <w:szCs w:val="20"/>
        </w:rPr>
      </w:pPr>
    </w:p>
    <w:p w14:paraId="2B5E8C4E" w14:textId="77777777" w:rsidR="004461A4" w:rsidRPr="004461A4" w:rsidRDefault="004461A4">
      <w:pPr>
        <w:jc w:val="both"/>
        <w:rPr>
          <w:rFonts w:ascii="Arial" w:hAnsi="Arial" w:cs="Arial"/>
          <w:sz w:val="20"/>
          <w:szCs w:val="20"/>
        </w:rPr>
      </w:pPr>
    </w:p>
    <w:p w14:paraId="590E6850" w14:textId="3910E5DA" w:rsidR="00386BC2" w:rsidRDefault="00386BC2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49A51E92" w14:textId="77777777" w:rsidR="005A0C8D" w:rsidRPr="0032204C" w:rsidRDefault="005A0C8D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14:paraId="2537B578" w14:textId="4D66AF3D" w:rsidR="008650E2" w:rsidRDefault="008650E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C5B760F" w14:textId="77777777" w:rsidR="005A0C8D" w:rsidRDefault="005A0C8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65C2865" w14:textId="2F233007" w:rsidR="005A0C8D" w:rsidRPr="006132F4" w:rsidRDefault="005A0C8D" w:rsidP="005A0C8D">
      <w:pPr>
        <w:rPr>
          <w:rFonts w:ascii="Arial" w:hAnsi="Arial" w:cs="Arial"/>
          <w:b/>
          <w:sz w:val="20"/>
        </w:rPr>
      </w:pPr>
      <w:r w:rsidRPr="006132F4">
        <w:rPr>
          <w:rFonts w:ascii="Arial" w:hAnsi="Arial" w:cs="Arial"/>
          <w:b/>
          <w:sz w:val="20"/>
        </w:rPr>
        <w:t>RESOURCES</w:t>
      </w:r>
      <w:r>
        <w:rPr>
          <w:rFonts w:ascii="Arial" w:hAnsi="Arial" w:cs="Arial"/>
          <w:b/>
          <w:sz w:val="20"/>
        </w:rPr>
        <w:t xml:space="preserve"> FOR HEALTHCARE PROVIDERS</w:t>
      </w:r>
      <w:r w:rsidRPr="006132F4">
        <w:rPr>
          <w:rFonts w:ascii="Arial" w:hAnsi="Arial" w:cs="Arial"/>
          <w:b/>
          <w:sz w:val="20"/>
        </w:rPr>
        <w:t xml:space="preserve"> </w:t>
      </w:r>
    </w:p>
    <w:p w14:paraId="73F6443F" w14:textId="77777777" w:rsidR="005A0C8D" w:rsidRDefault="005A0C8D" w:rsidP="005A0C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886A9C4" w14:textId="77777777" w:rsidR="005A0C8D" w:rsidRPr="006132F4" w:rsidRDefault="005A0C8D" w:rsidP="005A0C8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6132F4">
        <w:rPr>
          <w:rFonts w:ascii="Arial" w:hAnsi="Arial" w:cs="Arial"/>
          <w:color w:val="1A1A1A"/>
          <w:sz w:val="20"/>
          <w:szCs w:val="20"/>
        </w:rPr>
        <w:t>“Affirmative Care for Transgender and Gender Non-Conforming People: Best Practices for Front-line Health Care Staff,” by the National LGBT Health Education Center, available at:</w:t>
      </w:r>
    </w:p>
    <w:p w14:paraId="612BC6CD" w14:textId="77777777" w:rsidR="005A0C8D" w:rsidRPr="006132F4" w:rsidRDefault="00016212" w:rsidP="005A0C8D">
      <w:pPr>
        <w:rPr>
          <w:rFonts w:ascii="Arial" w:hAnsi="Arial" w:cs="Arial"/>
          <w:sz w:val="20"/>
          <w:szCs w:val="20"/>
        </w:rPr>
      </w:pPr>
      <w:hyperlink r:id="rId8" w:history="1">
        <w:r w:rsidR="005A0C8D" w:rsidRPr="006132F4">
          <w:rPr>
            <w:rStyle w:val="Hyperlink"/>
            <w:rFonts w:ascii="Arial" w:hAnsi="Arial" w:cs="Arial"/>
            <w:color w:val="auto"/>
            <w:sz w:val="20"/>
            <w:szCs w:val="20"/>
            <w:u w:val="none" w:color="103CC0"/>
          </w:rPr>
          <w:t>http://www.lgbthealtheducation.org/wp-content/uploads/13-017_TransBestPracticesforFrontlineStaff_v9_04-30-13.pdf.</w:t>
        </w:r>
      </w:hyperlink>
    </w:p>
    <w:p w14:paraId="67769763" w14:textId="77777777" w:rsidR="005A0C8D" w:rsidRDefault="005A0C8D" w:rsidP="005A0C8D">
      <w:pPr>
        <w:rPr>
          <w:rFonts w:ascii="Arial" w:hAnsi="Arial" w:cs="Arial"/>
          <w:sz w:val="20"/>
          <w:szCs w:val="20"/>
        </w:rPr>
      </w:pPr>
    </w:p>
    <w:p w14:paraId="4B9AA6E7" w14:textId="77777777" w:rsidR="005A0C8D" w:rsidRPr="006132F4" w:rsidRDefault="005A0C8D" w:rsidP="005A0C8D">
      <w:pPr>
        <w:rPr>
          <w:rFonts w:ascii="Arial" w:hAnsi="Arial" w:cs="Arial"/>
          <w:sz w:val="20"/>
          <w:szCs w:val="20"/>
        </w:rPr>
      </w:pPr>
      <w:r w:rsidRPr="006132F4">
        <w:rPr>
          <w:rFonts w:ascii="Arial" w:hAnsi="Arial" w:cs="Arial"/>
          <w:sz w:val="20"/>
          <w:szCs w:val="20"/>
        </w:rPr>
        <w:t>“Understanding Transgender: Frequently Asked Questions about Transgender People,” by the National Center for Transgender Equality, available at: http://transequality.org/issues/resources/understanding-transgender-people-faq.</w:t>
      </w:r>
    </w:p>
    <w:p w14:paraId="0701C204" w14:textId="77777777" w:rsidR="005A0C8D" w:rsidRPr="006132F4" w:rsidRDefault="005A0C8D" w:rsidP="005A0C8D">
      <w:pPr>
        <w:rPr>
          <w:rFonts w:ascii="Arial" w:hAnsi="Arial" w:cs="Arial"/>
          <w:sz w:val="20"/>
          <w:szCs w:val="20"/>
        </w:rPr>
      </w:pPr>
      <w:r w:rsidRPr="006132F4">
        <w:rPr>
          <w:rFonts w:ascii="Arial" w:hAnsi="Arial" w:cs="Arial"/>
          <w:sz w:val="20"/>
          <w:szCs w:val="20"/>
        </w:rPr>
        <w:t xml:space="preserve"> </w:t>
      </w:r>
    </w:p>
    <w:p w14:paraId="697CBB9D" w14:textId="77777777" w:rsidR="005A0C8D" w:rsidRPr="006132F4" w:rsidRDefault="005A0C8D" w:rsidP="005A0C8D">
      <w:pPr>
        <w:rPr>
          <w:rFonts w:ascii="Arial" w:hAnsi="Arial" w:cs="Arial"/>
          <w:sz w:val="20"/>
          <w:szCs w:val="20"/>
        </w:rPr>
      </w:pPr>
      <w:r w:rsidRPr="006132F4">
        <w:rPr>
          <w:rFonts w:ascii="Arial" w:hAnsi="Arial" w:cs="Arial"/>
          <w:sz w:val="20"/>
          <w:szCs w:val="20"/>
        </w:rPr>
        <w:t>“Standards of Care for the Health of Transsexual, Transgender, and Gender-Nonconforming People.” World Professional Association for Transgender Health, 7th Version, 2012. Available at www.wpath.org.</w:t>
      </w:r>
    </w:p>
    <w:p w14:paraId="71365DA9" w14:textId="77777777" w:rsidR="005A0C8D" w:rsidRPr="006132F4" w:rsidRDefault="005A0C8D" w:rsidP="005A0C8D">
      <w:pPr>
        <w:rPr>
          <w:rFonts w:ascii="Arial" w:hAnsi="Arial" w:cs="Arial"/>
          <w:sz w:val="20"/>
          <w:szCs w:val="20"/>
        </w:rPr>
      </w:pPr>
      <w:r w:rsidRPr="006132F4">
        <w:rPr>
          <w:rFonts w:ascii="Arial" w:hAnsi="Arial" w:cs="Arial"/>
          <w:sz w:val="20"/>
          <w:szCs w:val="20"/>
        </w:rPr>
        <w:t xml:space="preserve"> </w:t>
      </w:r>
    </w:p>
    <w:p w14:paraId="4DB3FE40" w14:textId="77777777" w:rsidR="005A0C8D" w:rsidRPr="006132F4" w:rsidRDefault="005A0C8D" w:rsidP="005A0C8D">
      <w:pPr>
        <w:rPr>
          <w:rFonts w:ascii="Arial" w:hAnsi="Arial" w:cs="Arial"/>
          <w:sz w:val="20"/>
          <w:szCs w:val="20"/>
        </w:rPr>
      </w:pPr>
      <w:r w:rsidRPr="006132F4">
        <w:rPr>
          <w:rFonts w:ascii="Arial" w:hAnsi="Arial" w:cs="Arial"/>
          <w:sz w:val="20"/>
          <w:szCs w:val="20"/>
        </w:rPr>
        <w:t>“Transgender Patients in the ED.” Emergency Physicians Monthly, August 19, 2015. Available at: http://epmonthly.com/article/transgender-patients-in-the-ed/</w:t>
      </w:r>
    </w:p>
    <w:p w14:paraId="5BCD199B" w14:textId="77777777" w:rsidR="005A0C8D" w:rsidRPr="0032204C" w:rsidRDefault="005A0C8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5A0C8D" w:rsidRPr="0032204C" w:rsidSect="00147024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02D8" w14:textId="77777777" w:rsidR="00016212" w:rsidRDefault="00016212" w:rsidP="00BA3860">
      <w:r>
        <w:separator/>
      </w:r>
    </w:p>
  </w:endnote>
  <w:endnote w:type="continuationSeparator" w:id="0">
    <w:p w14:paraId="5ADAE878" w14:textId="77777777" w:rsidR="00016212" w:rsidRDefault="00016212" w:rsidP="00BA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F0AD" w14:textId="77777777" w:rsidR="006132F4" w:rsidRDefault="006132F4" w:rsidP="00BA38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47BB8" w14:textId="77777777" w:rsidR="006132F4" w:rsidRDefault="006132F4" w:rsidP="00BA38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C4E1" w14:textId="77777777" w:rsidR="006132F4" w:rsidRDefault="006132F4" w:rsidP="00BA38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5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2B52" w14:textId="77777777" w:rsidR="006132F4" w:rsidRDefault="006132F4" w:rsidP="00BA38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FC4D" w14:textId="77777777" w:rsidR="00016212" w:rsidRDefault="00016212" w:rsidP="00BA3860">
      <w:r>
        <w:separator/>
      </w:r>
    </w:p>
  </w:footnote>
  <w:footnote w:type="continuationSeparator" w:id="0">
    <w:p w14:paraId="1CC71274" w14:textId="77777777" w:rsidR="00016212" w:rsidRDefault="00016212" w:rsidP="00BA3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C046" w14:textId="77777777" w:rsidR="006132F4" w:rsidRPr="00BA3860" w:rsidRDefault="006132F4" w:rsidP="00BA3860">
    <w:pPr>
      <w:jc w:val="center"/>
      <w:rPr>
        <w:rFonts w:ascii="Times" w:hAnsi="Times" w:cs="Times New Roman"/>
        <w:sz w:val="20"/>
        <w:szCs w:val="20"/>
      </w:rPr>
    </w:pPr>
    <w:r w:rsidRPr="00BA3860">
      <w:rPr>
        <w:rFonts w:ascii="Arial" w:hAnsi="Arial" w:cs="Arial"/>
        <w:b/>
        <w:bCs/>
        <w:color w:val="000000"/>
      </w:rPr>
      <w:t xml:space="preserve">Caring for the Transgender Patient in the Emergency Department: </w:t>
    </w:r>
  </w:p>
  <w:p w14:paraId="768FE896" w14:textId="77777777" w:rsidR="006132F4" w:rsidRPr="00BA3860" w:rsidRDefault="006132F4" w:rsidP="00BA3860">
    <w:pPr>
      <w:jc w:val="center"/>
      <w:rPr>
        <w:rFonts w:ascii="Times" w:hAnsi="Times" w:cs="Times New Roman"/>
        <w:sz w:val="20"/>
        <w:szCs w:val="20"/>
      </w:rPr>
    </w:pPr>
    <w:r w:rsidRPr="00BA3860">
      <w:rPr>
        <w:rFonts w:ascii="Arial" w:hAnsi="Arial" w:cs="Arial"/>
        <w:b/>
        <w:bCs/>
        <w:color w:val="000000"/>
      </w:rPr>
      <w:t>A module from the new ADIEM LGBT curriculum</w:t>
    </w:r>
  </w:p>
  <w:p w14:paraId="09DAB450" w14:textId="77777777" w:rsidR="006132F4" w:rsidRPr="00BA3860" w:rsidRDefault="006132F4" w:rsidP="00BA3860">
    <w:pPr>
      <w:jc w:val="right"/>
      <w:rPr>
        <w:rFonts w:ascii="Times" w:eastAsia="Times New Roman" w:hAnsi="Times" w:cs="Times New Roman"/>
        <w:sz w:val="20"/>
        <w:szCs w:val="20"/>
      </w:rPr>
    </w:pPr>
    <w:r w:rsidRPr="00BA3860">
      <w:rPr>
        <w:rFonts w:ascii="Times" w:eastAsia="Times New Roman" w:hAnsi="Times" w:cs="Times New Roman"/>
        <w:sz w:val="20"/>
        <w:szCs w:val="20"/>
      </w:rPr>
      <w:br/>
    </w:r>
    <w:r w:rsidRPr="00BA3860">
      <w:rPr>
        <w:rFonts w:ascii="Arial" w:eastAsia="Times New Roman" w:hAnsi="Arial" w:cs="Arial"/>
        <w:b/>
        <w:bCs/>
        <w:color w:val="000000"/>
        <w:sz w:val="22"/>
        <w:szCs w:val="22"/>
      </w:rPr>
      <w:t>SAEM 2016</w:t>
    </w:r>
  </w:p>
  <w:p w14:paraId="5AB61DD9" w14:textId="77777777" w:rsidR="006132F4" w:rsidRDefault="006132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30E"/>
    <w:multiLevelType w:val="hybridMultilevel"/>
    <w:tmpl w:val="BD4A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D2FDC"/>
    <w:multiLevelType w:val="hybridMultilevel"/>
    <w:tmpl w:val="6A2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6DDD"/>
    <w:multiLevelType w:val="hybridMultilevel"/>
    <w:tmpl w:val="BFBE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65F7"/>
    <w:multiLevelType w:val="hybridMultilevel"/>
    <w:tmpl w:val="F362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180D"/>
    <w:multiLevelType w:val="hybridMultilevel"/>
    <w:tmpl w:val="1C2AC62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1EDE51E4"/>
    <w:multiLevelType w:val="hybridMultilevel"/>
    <w:tmpl w:val="DA929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72553"/>
    <w:multiLevelType w:val="hybridMultilevel"/>
    <w:tmpl w:val="AB9E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5ECD"/>
    <w:multiLevelType w:val="hybridMultilevel"/>
    <w:tmpl w:val="42725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D7621"/>
    <w:multiLevelType w:val="hybridMultilevel"/>
    <w:tmpl w:val="321C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13F6"/>
    <w:multiLevelType w:val="hybridMultilevel"/>
    <w:tmpl w:val="1534E8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3272B1"/>
    <w:multiLevelType w:val="hybridMultilevel"/>
    <w:tmpl w:val="175A2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C90018"/>
    <w:multiLevelType w:val="hybridMultilevel"/>
    <w:tmpl w:val="9E28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E782D"/>
    <w:multiLevelType w:val="hybridMultilevel"/>
    <w:tmpl w:val="4D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225D1"/>
    <w:multiLevelType w:val="hybridMultilevel"/>
    <w:tmpl w:val="FD36A86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2FB90F5F"/>
    <w:multiLevelType w:val="hybridMultilevel"/>
    <w:tmpl w:val="B67A1872"/>
    <w:lvl w:ilvl="0" w:tplc="10DAF5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A41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C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18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E7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EA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0B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08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00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8480A"/>
    <w:multiLevelType w:val="hybridMultilevel"/>
    <w:tmpl w:val="CA7A377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38222872"/>
    <w:multiLevelType w:val="hybridMultilevel"/>
    <w:tmpl w:val="9B14B5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C465C4"/>
    <w:multiLevelType w:val="hybridMultilevel"/>
    <w:tmpl w:val="AD9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5C6827"/>
    <w:multiLevelType w:val="hybridMultilevel"/>
    <w:tmpl w:val="ECD4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96208"/>
    <w:multiLevelType w:val="hybridMultilevel"/>
    <w:tmpl w:val="0DACC7A2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4C5360B4"/>
    <w:multiLevelType w:val="hybridMultilevel"/>
    <w:tmpl w:val="67D02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A9297C4">
      <w:start w:val="54"/>
      <w:numFmt w:val="bullet"/>
      <w:lvlText w:val="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B1095C"/>
    <w:multiLevelType w:val="hybridMultilevel"/>
    <w:tmpl w:val="1BB2F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8D0489"/>
    <w:multiLevelType w:val="hybridMultilevel"/>
    <w:tmpl w:val="6A2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458D6"/>
    <w:multiLevelType w:val="hybridMultilevel"/>
    <w:tmpl w:val="88A0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1354B"/>
    <w:multiLevelType w:val="hybridMultilevel"/>
    <w:tmpl w:val="98F8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064ECD"/>
    <w:multiLevelType w:val="hybridMultilevel"/>
    <w:tmpl w:val="A5F6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A9297C4">
      <w:start w:val="54"/>
      <w:numFmt w:val="bullet"/>
      <w:lvlText w:val="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7C611F"/>
    <w:multiLevelType w:val="hybridMultilevel"/>
    <w:tmpl w:val="67DA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A9297C4">
      <w:start w:val="54"/>
      <w:numFmt w:val="bullet"/>
      <w:lvlText w:val="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CD0247"/>
    <w:multiLevelType w:val="hybridMultilevel"/>
    <w:tmpl w:val="BA780BBE"/>
    <w:lvl w:ilvl="0" w:tplc="54CA19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51ECE"/>
    <w:multiLevelType w:val="hybridMultilevel"/>
    <w:tmpl w:val="072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879CD"/>
    <w:multiLevelType w:val="hybridMultilevel"/>
    <w:tmpl w:val="17E62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8B6923"/>
    <w:multiLevelType w:val="hybridMultilevel"/>
    <w:tmpl w:val="4D90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A9297C4">
      <w:start w:val="54"/>
      <w:numFmt w:val="bullet"/>
      <w:lvlText w:val="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02128"/>
    <w:multiLevelType w:val="hybridMultilevel"/>
    <w:tmpl w:val="56D22D74"/>
    <w:lvl w:ilvl="0" w:tplc="48DCB0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620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67EB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826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F217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E864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046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C68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FE49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84B44B5"/>
    <w:multiLevelType w:val="hybridMultilevel"/>
    <w:tmpl w:val="24902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019D8"/>
    <w:multiLevelType w:val="hybridMultilevel"/>
    <w:tmpl w:val="5A12F1D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4">
    <w:nsid w:val="72F90E1F"/>
    <w:multiLevelType w:val="multilevel"/>
    <w:tmpl w:val="2C2AB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15D11"/>
    <w:multiLevelType w:val="hybridMultilevel"/>
    <w:tmpl w:val="6A28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45336"/>
    <w:multiLevelType w:val="hybridMultilevel"/>
    <w:tmpl w:val="FF425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336941"/>
    <w:multiLevelType w:val="hybridMultilevel"/>
    <w:tmpl w:val="32E03718"/>
    <w:lvl w:ilvl="0" w:tplc="5AEC8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257176"/>
    <w:multiLevelType w:val="hybridMultilevel"/>
    <w:tmpl w:val="26A02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275D52"/>
    <w:multiLevelType w:val="hybridMultilevel"/>
    <w:tmpl w:val="AF886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123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5"/>
  </w:num>
  <w:num w:numId="5">
    <w:abstractNumId w:val="0"/>
  </w:num>
  <w:num w:numId="6">
    <w:abstractNumId w:val="34"/>
  </w:num>
  <w:num w:numId="7">
    <w:abstractNumId w:val="38"/>
  </w:num>
  <w:num w:numId="8">
    <w:abstractNumId w:val="11"/>
  </w:num>
  <w:num w:numId="9">
    <w:abstractNumId w:val="37"/>
  </w:num>
  <w:num w:numId="10">
    <w:abstractNumId w:val="35"/>
  </w:num>
  <w:num w:numId="11">
    <w:abstractNumId w:val="22"/>
  </w:num>
  <w:num w:numId="12">
    <w:abstractNumId w:val="9"/>
  </w:num>
  <w:num w:numId="13">
    <w:abstractNumId w:val="19"/>
  </w:num>
  <w:num w:numId="14">
    <w:abstractNumId w:val="15"/>
  </w:num>
  <w:num w:numId="15">
    <w:abstractNumId w:val="4"/>
  </w:num>
  <w:num w:numId="16">
    <w:abstractNumId w:val="40"/>
  </w:num>
  <w:num w:numId="17">
    <w:abstractNumId w:val="13"/>
  </w:num>
  <w:num w:numId="18">
    <w:abstractNumId w:val="23"/>
  </w:num>
  <w:num w:numId="19">
    <w:abstractNumId w:val="21"/>
  </w:num>
  <w:num w:numId="20">
    <w:abstractNumId w:val="28"/>
  </w:num>
  <w:num w:numId="21">
    <w:abstractNumId w:val="33"/>
  </w:num>
  <w:num w:numId="22">
    <w:abstractNumId w:val="31"/>
  </w:num>
  <w:num w:numId="23">
    <w:abstractNumId w:val="16"/>
  </w:num>
  <w:num w:numId="24">
    <w:abstractNumId w:val="14"/>
  </w:num>
  <w:num w:numId="25">
    <w:abstractNumId w:val="7"/>
  </w:num>
  <w:num w:numId="26">
    <w:abstractNumId w:val="6"/>
  </w:num>
  <w:num w:numId="27">
    <w:abstractNumId w:val="10"/>
  </w:num>
  <w:num w:numId="28">
    <w:abstractNumId w:val="2"/>
  </w:num>
  <w:num w:numId="29">
    <w:abstractNumId w:val="26"/>
  </w:num>
  <w:num w:numId="30">
    <w:abstractNumId w:val="20"/>
  </w:num>
  <w:num w:numId="31">
    <w:abstractNumId w:val="25"/>
  </w:num>
  <w:num w:numId="32">
    <w:abstractNumId w:val="12"/>
  </w:num>
  <w:num w:numId="33">
    <w:abstractNumId w:val="3"/>
  </w:num>
  <w:num w:numId="34">
    <w:abstractNumId w:val="30"/>
  </w:num>
  <w:num w:numId="35">
    <w:abstractNumId w:val="29"/>
  </w:num>
  <w:num w:numId="36">
    <w:abstractNumId w:val="32"/>
  </w:num>
  <w:num w:numId="37">
    <w:abstractNumId w:val="36"/>
  </w:num>
  <w:num w:numId="38">
    <w:abstractNumId w:val="8"/>
  </w:num>
  <w:num w:numId="39">
    <w:abstractNumId w:val="18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09"/>
    <w:rsid w:val="00016212"/>
    <w:rsid w:val="00016B33"/>
    <w:rsid w:val="000B53D9"/>
    <w:rsid w:val="000C218F"/>
    <w:rsid w:val="000D0FB5"/>
    <w:rsid w:val="000E6D6E"/>
    <w:rsid w:val="0011241A"/>
    <w:rsid w:val="001171F6"/>
    <w:rsid w:val="00147024"/>
    <w:rsid w:val="00170FE9"/>
    <w:rsid w:val="00196E7C"/>
    <w:rsid w:val="001A4CA5"/>
    <w:rsid w:val="00237F90"/>
    <w:rsid w:val="002A76EB"/>
    <w:rsid w:val="002D587E"/>
    <w:rsid w:val="00316AD1"/>
    <w:rsid w:val="0032204C"/>
    <w:rsid w:val="00386BC2"/>
    <w:rsid w:val="003906BF"/>
    <w:rsid w:val="003B0058"/>
    <w:rsid w:val="003B3E82"/>
    <w:rsid w:val="003F390E"/>
    <w:rsid w:val="004362BE"/>
    <w:rsid w:val="004429B4"/>
    <w:rsid w:val="004461A4"/>
    <w:rsid w:val="00465945"/>
    <w:rsid w:val="0047451B"/>
    <w:rsid w:val="00483DAE"/>
    <w:rsid w:val="004A20F0"/>
    <w:rsid w:val="00551498"/>
    <w:rsid w:val="00567615"/>
    <w:rsid w:val="00577EE8"/>
    <w:rsid w:val="005A009B"/>
    <w:rsid w:val="005A0C8D"/>
    <w:rsid w:val="006132F4"/>
    <w:rsid w:val="0064298D"/>
    <w:rsid w:val="006647CA"/>
    <w:rsid w:val="007712AD"/>
    <w:rsid w:val="007802FF"/>
    <w:rsid w:val="007972CC"/>
    <w:rsid w:val="007A6829"/>
    <w:rsid w:val="007D2DC3"/>
    <w:rsid w:val="007F1698"/>
    <w:rsid w:val="00810FB9"/>
    <w:rsid w:val="008650E2"/>
    <w:rsid w:val="00870209"/>
    <w:rsid w:val="008A5007"/>
    <w:rsid w:val="008A736E"/>
    <w:rsid w:val="008B1D6E"/>
    <w:rsid w:val="008D68A4"/>
    <w:rsid w:val="009F7233"/>
    <w:rsid w:val="00A63087"/>
    <w:rsid w:val="00A874FC"/>
    <w:rsid w:val="00A9635A"/>
    <w:rsid w:val="00AB5C3D"/>
    <w:rsid w:val="00AC63AF"/>
    <w:rsid w:val="00AE7BDF"/>
    <w:rsid w:val="00B16492"/>
    <w:rsid w:val="00B23262"/>
    <w:rsid w:val="00B24BBC"/>
    <w:rsid w:val="00B41C35"/>
    <w:rsid w:val="00B64DBD"/>
    <w:rsid w:val="00B706B2"/>
    <w:rsid w:val="00B93286"/>
    <w:rsid w:val="00BA3860"/>
    <w:rsid w:val="00BF0447"/>
    <w:rsid w:val="00C01141"/>
    <w:rsid w:val="00C23841"/>
    <w:rsid w:val="00C42ACF"/>
    <w:rsid w:val="00C502C2"/>
    <w:rsid w:val="00C717AB"/>
    <w:rsid w:val="00C94A93"/>
    <w:rsid w:val="00CA200B"/>
    <w:rsid w:val="00CD3053"/>
    <w:rsid w:val="00D01A8D"/>
    <w:rsid w:val="00D25E18"/>
    <w:rsid w:val="00D46E6E"/>
    <w:rsid w:val="00D835A6"/>
    <w:rsid w:val="00D96C65"/>
    <w:rsid w:val="00DA2CD4"/>
    <w:rsid w:val="00E33ABE"/>
    <w:rsid w:val="00E45F26"/>
    <w:rsid w:val="00E846B5"/>
    <w:rsid w:val="00E97D17"/>
    <w:rsid w:val="00F5755F"/>
    <w:rsid w:val="00F82B51"/>
    <w:rsid w:val="00FC29B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FE8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C63AF"/>
    <w:rPr>
      <w:b/>
      <w:bCs/>
    </w:rPr>
  </w:style>
  <w:style w:type="table" w:styleId="TableGrid">
    <w:name w:val="Table Grid"/>
    <w:basedOn w:val="TableNormal"/>
    <w:uiPriority w:val="59"/>
    <w:rsid w:val="00AC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B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60"/>
  </w:style>
  <w:style w:type="paragraph" w:styleId="Footer">
    <w:name w:val="footer"/>
    <w:basedOn w:val="Normal"/>
    <w:link w:val="FooterChar"/>
    <w:uiPriority w:val="99"/>
    <w:unhideWhenUsed/>
    <w:rsid w:val="00BA3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60"/>
  </w:style>
  <w:style w:type="character" w:styleId="PageNumber">
    <w:name w:val="page number"/>
    <w:basedOn w:val="DefaultParagraphFont"/>
    <w:uiPriority w:val="99"/>
    <w:semiHidden/>
    <w:unhideWhenUsed/>
    <w:rsid w:val="00B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31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lgbthealtheducation.org/wp-content/uploads/13-017_TransBestPracticesforFrontlineStaff_v9_04-30-13.pdf.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solidFill>
            <a:schemeClr val="tx1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896</Words>
  <Characters>5109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Krieger</dc:creator>
  <cp:lastModifiedBy>Daul, Anne M.</cp:lastModifiedBy>
  <cp:revision>2</cp:revision>
  <dcterms:created xsi:type="dcterms:W3CDTF">2016-05-05T18:13:00Z</dcterms:created>
  <dcterms:modified xsi:type="dcterms:W3CDTF">2016-05-05T18:13:00Z</dcterms:modified>
</cp:coreProperties>
</file>